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DD" w:rsidRPr="002A5573" w:rsidRDefault="00EF2EDD" w:rsidP="00EF2EDD">
      <w:pPr>
        <w:pStyle w:val="SCL-Title"/>
        <w:pBdr>
          <w:top w:val="none" w:sz="0" w:space="0" w:color="auto"/>
        </w:pBdr>
        <w:rPr>
          <w:sz w:val="36"/>
        </w:rPr>
      </w:pPr>
      <w:bookmarkStart w:id="0" w:name="Text1"/>
      <w:bookmarkStart w:id="1" w:name="_GoBack"/>
      <w:bookmarkEnd w:id="1"/>
      <w:r>
        <w:t>Systems Usage</w:t>
      </w:r>
    </w:p>
    <w:p w:rsidR="00EF2EDD" w:rsidRPr="00CB6CF0" w:rsidRDefault="00EF2EDD" w:rsidP="00EF2EDD"/>
    <w:p w:rsidR="00EF2EDD" w:rsidRPr="00D80A91" w:rsidRDefault="00EF2EDD" w:rsidP="00EF2EDD">
      <w:pPr>
        <w:pBdr>
          <w:bottom w:val="single" w:sz="4" w:space="1" w:color="auto"/>
        </w:pBdr>
        <w:spacing w:after="120"/>
        <w:rPr>
          <w:b/>
          <w:sz w:val="32"/>
          <w:szCs w:val="32"/>
        </w:rPr>
      </w:pPr>
      <w:r w:rsidRPr="005B72F6">
        <w:rPr>
          <w:rStyle w:val="SCL-DocNumberChar"/>
        </w:rPr>
        <w:t>Document Number</w:t>
      </w:r>
      <w:r>
        <w:rPr>
          <w:b/>
          <w:sz w:val="32"/>
          <w:szCs w:val="32"/>
        </w:rPr>
        <w:t xml:space="preserve"> –</w:t>
      </w:r>
      <w:r w:rsidR="00EF5490">
        <w:rPr>
          <w:b/>
          <w:sz w:val="32"/>
          <w:szCs w:val="32"/>
        </w:rPr>
        <w:t xml:space="preserve"> </w:t>
      </w:r>
      <w:r w:rsidR="00EF5490">
        <w:rPr>
          <w:rStyle w:val="SCL-DocNumberChar"/>
        </w:rPr>
        <w:t>FNC-POL-04</w:t>
      </w:r>
    </w:p>
    <w:p w:rsidR="00EF2EDD" w:rsidRPr="00D73CD6" w:rsidRDefault="00EF2EDD" w:rsidP="00EF2EDD">
      <w:pPr>
        <w:pStyle w:val="HelpTextTemplateOnly"/>
        <w:shd w:val="clear" w:color="auto" w:fill="auto"/>
        <w:jc w:val="left"/>
        <w:rPr>
          <w:rFonts w:cs="Arial"/>
          <w:b/>
          <w:i/>
          <w:color w:val="0070C0"/>
        </w:rPr>
      </w:pPr>
    </w:p>
    <w:bookmarkEnd w:id="0"/>
    <w:p w:rsidR="008D0EAC" w:rsidRPr="00EF2EDD" w:rsidRDefault="008D0EAC" w:rsidP="005271C2">
      <w:pPr>
        <w:pStyle w:val="SCL-Heading1"/>
        <w:spacing w:before="240"/>
        <w:rPr>
          <w:sz w:val="28"/>
          <w:szCs w:val="28"/>
        </w:rPr>
      </w:pPr>
      <w:r w:rsidRPr="00EF2EDD">
        <w:rPr>
          <w:sz w:val="28"/>
          <w:szCs w:val="28"/>
        </w:rPr>
        <w:t>Policy Statement</w:t>
      </w:r>
    </w:p>
    <w:p w:rsidR="00ED1C30" w:rsidRPr="00EF2EDD" w:rsidRDefault="00ED1C30" w:rsidP="008B4998">
      <w:pPr>
        <w:autoSpaceDE w:val="0"/>
        <w:autoSpaceDN w:val="0"/>
        <w:adjustRightInd w:val="0"/>
        <w:spacing w:before="120" w:after="120"/>
        <w:ind w:left="720"/>
        <w:jc w:val="both"/>
        <w:rPr>
          <w:rFonts w:cs="Arial"/>
          <w:color w:val="000000"/>
          <w:sz w:val="20"/>
          <w:szCs w:val="20"/>
        </w:rPr>
      </w:pPr>
      <w:r w:rsidRPr="00EF2EDD">
        <w:rPr>
          <w:rFonts w:cs="Arial"/>
          <w:color w:val="000000"/>
          <w:sz w:val="20"/>
          <w:szCs w:val="20"/>
        </w:rPr>
        <w:t>The purpose of this policy is to outline the acceptable use of Information Systems at Stanwell.  Inappropriate use of Information Systems unnecessarily exposes Stanwell to increased legal risk, risk of computer viruses and other threats that may compromise Stanwell’s network and business systems.</w:t>
      </w:r>
    </w:p>
    <w:p w:rsidR="00235CDA" w:rsidRPr="00EF2EDD" w:rsidRDefault="00235CDA" w:rsidP="005271C2">
      <w:pPr>
        <w:pStyle w:val="SCL-Heading1"/>
        <w:spacing w:before="240"/>
        <w:rPr>
          <w:sz w:val="28"/>
          <w:szCs w:val="28"/>
        </w:rPr>
      </w:pPr>
      <w:r w:rsidRPr="00EF2EDD">
        <w:rPr>
          <w:sz w:val="28"/>
          <w:szCs w:val="28"/>
        </w:rPr>
        <w:t>Scope</w:t>
      </w:r>
    </w:p>
    <w:p w:rsidR="00ED1C30" w:rsidRPr="00EF2EDD" w:rsidRDefault="00ED1C30" w:rsidP="00ED1C30">
      <w:pPr>
        <w:autoSpaceDE w:val="0"/>
        <w:autoSpaceDN w:val="0"/>
        <w:adjustRightInd w:val="0"/>
        <w:spacing w:before="120" w:after="120"/>
        <w:ind w:left="720"/>
        <w:jc w:val="both"/>
        <w:rPr>
          <w:rFonts w:cs="Arial"/>
          <w:color w:val="000000"/>
          <w:sz w:val="20"/>
          <w:szCs w:val="20"/>
        </w:rPr>
      </w:pPr>
      <w:r w:rsidRPr="00EF2EDD">
        <w:rPr>
          <w:rFonts w:cs="Arial"/>
          <w:color w:val="000000"/>
          <w:sz w:val="20"/>
          <w:szCs w:val="20"/>
        </w:rPr>
        <w:t xml:space="preserve">The policy applies to the use of mobile and computing devices, software and network resources at Stanwell and all users of Stanwell’s Information Systems, including employees, directors, contractors and consultants. </w:t>
      </w:r>
    </w:p>
    <w:p w:rsidR="00ED1C30" w:rsidRPr="00EF2EDD" w:rsidRDefault="00ED1C30" w:rsidP="00ED1C30">
      <w:pPr>
        <w:autoSpaceDE w:val="0"/>
        <w:autoSpaceDN w:val="0"/>
        <w:adjustRightInd w:val="0"/>
        <w:spacing w:before="120" w:after="120"/>
        <w:ind w:left="720"/>
        <w:jc w:val="both"/>
        <w:rPr>
          <w:rFonts w:cs="Arial"/>
          <w:color w:val="000000"/>
          <w:sz w:val="20"/>
          <w:szCs w:val="20"/>
        </w:rPr>
      </w:pPr>
      <w:r w:rsidRPr="00EF2EDD">
        <w:rPr>
          <w:rFonts w:cs="Arial"/>
          <w:color w:val="000000"/>
          <w:sz w:val="20"/>
          <w:szCs w:val="20"/>
        </w:rPr>
        <w:t>This policy should be read in conjunction with the eLearning module of the same name and forms part of Stanwell’s Code of Conduct policy framework.</w:t>
      </w:r>
    </w:p>
    <w:p w:rsidR="00B531DB" w:rsidRPr="00EF2EDD" w:rsidRDefault="00B531DB" w:rsidP="005271C2">
      <w:pPr>
        <w:pStyle w:val="SCL-Heading1"/>
        <w:spacing w:before="240"/>
        <w:rPr>
          <w:sz w:val="28"/>
          <w:szCs w:val="28"/>
        </w:rPr>
      </w:pPr>
      <w:r w:rsidRPr="00EF2EDD">
        <w:rPr>
          <w:sz w:val="28"/>
          <w:szCs w:val="28"/>
        </w:rPr>
        <w:t>Content</w:t>
      </w:r>
    </w:p>
    <w:p w:rsidR="00ED1C30" w:rsidRPr="00EF2EDD" w:rsidRDefault="00ED1C30" w:rsidP="00ED1C30">
      <w:pPr>
        <w:pStyle w:val="SCL-ContentText"/>
        <w:spacing w:after="120"/>
        <w:rPr>
          <w:sz w:val="20"/>
          <w:szCs w:val="20"/>
        </w:rPr>
      </w:pPr>
      <w:r w:rsidRPr="00EF2EDD">
        <w:rPr>
          <w:sz w:val="20"/>
          <w:szCs w:val="20"/>
        </w:rPr>
        <w:t xml:space="preserve">Information Systems includes, but are not limited to, computers, software and network resources such as internet, email and voicemail, and mobile devices including phones, smartphones and tablets. </w:t>
      </w:r>
    </w:p>
    <w:p w:rsidR="00ED1C30" w:rsidRPr="00EF2EDD" w:rsidRDefault="00ED1C30" w:rsidP="00ED1C30">
      <w:pPr>
        <w:pStyle w:val="SCL-ContentText"/>
        <w:spacing w:after="120"/>
        <w:rPr>
          <w:sz w:val="20"/>
          <w:szCs w:val="20"/>
        </w:rPr>
      </w:pPr>
      <w:r w:rsidRPr="00EF2EDD">
        <w:rPr>
          <w:sz w:val="20"/>
          <w:szCs w:val="20"/>
        </w:rPr>
        <w:t>The policy covers data accessed by and stored on Stanwell systems and applies regardless of whether a user is working at a Stanwell site, remotely, or using a personal internet connection to access Stanwell’s Information Systems.</w:t>
      </w:r>
    </w:p>
    <w:p w:rsidR="00ED1C30" w:rsidRPr="00EF2EDD" w:rsidRDefault="00ED1C30" w:rsidP="00ED1C30">
      <w:pPr>
        <w:pStyle w:val="SCL-ContentText"/>
        <w:spacing w:after="120"/>
        <w:rPr>
          <w:sz w:val="20"/>
          <w:szCs w:val="20"/>
        </w:rPr>
      </w:pPr>
      <w:r w:rsidRPr="00EF2EDD">
        <w:rPr>
          <w:sz w:val="20"/>
          <w:szCs w:val="20"/>
        </w:rPr>
        <w:t>Stanwell provides user access to facilitate business communications and advance Stanwell’s business objectives.  Limited personal use of Stanwell’s Information Systems is acceptable, but must not:</w:t>
      </w:r>
    </w:p>
    <w:p w:rsidR="00ED1C30" w:rsidRPr="00EF2EDD" w:rsidRDefault="00ED1C30" w:rsidP="00ED1C30">
      <w:pPr>
        <w:pStyle w:val="SCL-ContentText"/>
        <w:numPr>
          <w:ilvl w:val="0"/>
          <w:numId w:val="30"/>
        </w:numPr>
        <w:spacing w:after="120"/>
        <w:rPr>
          <w:sz w:val="20"/>
          <w:szCs w:val="20"/>
        </w:rPr>
      </w:pPr>
      <w:r w:rsidRPr="00EF2EDD">
        <w:rPr>
          <w:sz w:val="20"/>
          <w:szCs w:val="20"/>
        </w:rPr>
        <w:t>negatively impact the user’s work performance;</w:t>
      </w:r>
    </w:p>
    <w:p w:rsidR="00ED1C30" w:rsidRPr="00EF2EDD" w:rsidRDefault="00ED1C30" w:rsidP="00ED1C30">
      <w:pPr>
        <w:pStyle w:val="SCL-ContentText"/>
        <w:numPr>
          <w:ilvl w:val="0"/>
          <w:numId w:val="30"/>
        </w:numPr>
        <w:spacing w:after="120"/>
        <w:rPr>
          <w:sz w:val="20"/>
          <w:szCs w:val="20"/>
        </w:rPr>
      </w:pPr>
      <w:r w:rsidRPr="00EF2EDD">
        <w:rPr>
          <w:sz w:val="20"/>
          <w:szCs w:val="20"/>
        </w:rPr>
        <w:t>breach this or any other Stanwell policy;</w:t>
      </w:r>
    </w:p>
    <w:p w:rsidR="00ED1C30" w:rsidRPr="00EF2EDD" w:rsidRDefault="00ED1C30" w:rsidP="00ED1C30">
      <w:pPr>
        <w:pStyle w:val="SCL-ContentText"/>
        <w:numPr>
          <w:ilvl w:val="0"/>
          <w:numId w:val="30"/>
        </w:numPr>
        <w:spacing w:after="120"/>
        <w:rPr>
          <w:sz w:val="20"/>
          <w:szCs w:val="20"/>
        </w:rPr>
      </w:pPr>
      <w:r w:rsidRPr="00EF2EDD">
        <w:rPr>
          <w:sz w:val="20"/>
          <w:szCs w:val="20"/>
        </w:rPr>
        <w:t>consume significant resources;</w:t>
      </w:r>
    </w:p>
    <w:p w:rsidR="00ED1C30" w:rsidRPr="00EF2EDD" w:rsidRDefault="00ED1C30" w:rsidP="00ED1C30">
      <w:pPr>
        <w:pStyle w:val="SCL-ContentText"/>
        <w:numPr>
          <w:ilvl w:val="0"/>
          <w:numId w:val="30"/>
        </w:numPr>
        <w:spacing w:after="120"/>
        <w:rPr>
          <w:sz w:val="20"/>
          <w:szCs w:val="20"/>
        </w:rPr>
      </w:pPr>
      <w:r w:rsidRPr="00EF2EDD">
        <w:rPr>
          <w:sz w:val="20"/>
          <w:szCs w:val="20"/>
        </w:rPr>
        <w:t>result in degradation of service or interfere with the work activities of others; or</w:t>
      </w:r>
    </w:p>
    <w:p w:rsidR="00ED1C30" w:rsidRPr="00EF2EDD" w:rsidRDefault="00ED1C30" w:rsidP="00ED1C30">
      <w:pPr>
        <w:pStyle w:val="SCL-ContentText"/>
        <w:numPr>
          <w:ilvl w:val="0"/>
          <w:numId w:val="30"/>
        </w:numPr>
        <w:spacing w:after="120"/>
        <w:rPr>
          <w:sz w:val="20"/>
          <w:szCs w:val="20"/>
        </w:rPr>
      </w:pPr>
      <w:r w:rsidRPr="00EF2EDD">
        <w:rPr>
          <w:sz w:val="20"/>
          <w:szCs w:val="20"/>
        </w:rPr>
        <w:t>be used to transmit or store excessive personal content.</w:t>
      </w:r>
    </w:p>
    <w:p w:rsidR="00ED1C30" w:rsidRPr="00EF2EDD" w:rsidRDefault="00ED1C30" w:rsidP="005271C2">
      <w:pPr>
        <w:pStyle w:val="SCL-Heading2"/>
        <w:spacing w:after="120"/>
        <w:ind w:left="850"/>
        <w:rPr>
          <w:sz w:val="24"/>
          <w:szCs w:val="24"/>
        </w:rPr>
      </w:pPr>
      <w:r w:rsidRPr="00EF2EDD">
        <w:rPr>
          <w:sz w:val="24"/>
          <w:szCs w:val="24"/>
        </w:rPr>
        <w:t>Breach of Policy</w:t>
      </w:r>
    </w:p>
    <w:p w:rsidR="00ED1C30" w:rsidRPr="00EF2EDD" w:rsidRDefault="00ED1C30" w:rsidP="00ED1C30">
      <w:pPr>
        <w:ind w:left="850"/>
        <w:rPr>
          <w:sz w:val="20"/>
          <w:szCs w:val="20"/>
        </w:rPr>
      </w:pPr>
      <w:r w:rsidRPr="00EF2EDD">
        <w:rPr>
          <w:sz w:val="20"/>
          <w:szCs w:val="20"/>
        </w:rPr>
        <w:t xml:space="preserve">A breach of this Policy may also be a breach of Stanwell’s Code of Conduct and Fair Treatment Policy and Social Media </w:t>
      </w:r>
      <w:r w:rsidR="001A6A3E" w:rsidRPr="00EF2EDD">
        <w:rPr>
          <w:sz w:val="20"/>
          <w:szCs w:val="20"/>
        </w:rPr>
        <w:t xml:space="preserve">and Mobile Device Allocation </w:t>
      </w:r>
      <w:r w:rsidRPr="00EF2EDD">
        <w:rPr>
          <w:sz w:val="20"/>
          <w:szCs w:val="20"/>
        </w:rPr>
        <w:t>Procedure</w:t>
      </w:r>
      <w:r w:rsidR="001A6A3E" w:rsidRPr="00EF2EDD">
        <w:rPr>
          <w:sz w:val="20"/>
          <w:szCs w:val="20"/>
        </w:rPr>
        <w:t>s</w:t>
      </w:r>
      <w:r w:rsidRPr="00EF2EDD">
        <w:rPr>
          <w:sz w:val="20"/>
          <w:szCs w:val="20"/>
        </w:rPr>
        <w:t xml:space="preserve">.  </w:t>
      </w:r>
    </w:p>
    <w:p w:rsidR="00ED1C30" w:rsidRPr="00EF2EDD" w:rsidRDefault="00ED1C30" w:rsidP="00ED1C30">
      <w:pPr>
        <w:ind w:left="850"/>
        <w:rPr>
          <w:sz w:val="20"/>
          <w:szCs w:val="20"/>
        </w:rPr>
      </w:pPr>
    </w:p>
    <w:p w:rsidR="00ED1C30" w:rsidRPr="00EF2EDD" w:rsidRDefault="00ED1C30" w:rsidP="00ED1C30">
      <w:pPr>
        <w:ind w:left="850"/>
        <w:rPr>
          <w:sz w:val="20"/>
          <w:szCs w:val="20"/>
        </w:rPr>
      </w:pPr>
      <w:r w:rsidRPr="00EF2EDD">
        <w:rPr>
          <w:sz w:val="20"/>
          <w:szCs w:val="20"/>
        </w:rPr>
        <w:t xml:space="preserve">Failure to comply with this Policy will be taken very seriously and may lead to disciplinary action.  In certain circumstances, a breach of the Policy could be referred to an appropriate authority for </w:t>
      </w:r>
      <w:r w:rsidRPr="00EF2EDD">
        <w:rPr>
          <w:sz w:val="20"/>
          <w:szCs w:val="20"/>
        </w:rPr>
        <w:lastRenderedPageBreak/>
        <w:t>investigation.  A number of consequences could flow from a breach, including termination of employment or contract and prosecution.</w:t>
      </w:r>
    </w:p>
    <w:p w:rsidR="00ED1C30" w:rsidRPr="00EF2EDD" w:rsidRDefault="00ED1C30" w:rsidP="00ED1C30">
      <w:pPr>
        <w:ind w:left="850"/>
        <w:rPr>
          <w:sz w:val="20"/>
          <w:szCs w:val="20"/>
        </w:rPr>
      </w:pPr>
    </w:p>
    <w:p w:rsidR="00ED1C30" w:rsidRPr="00EF2EDD" w:rsidRDefault="00ED1C30" w:rsidP="00ED1C30">
      <w:pPr>
        <w:ind w:left="850"/>
        <w:rPr>
          <w:sz w:val="20"/>
          <w:szCs w:val="20"/>
        </w:rPr>
      </w:pPr>
      <w:r w:rsidRPr="00EF2EDD">
        <w:rPr>
          <w:sz w:val="20"/>
          <w:szCs w:val="20"/>
        </w:rPr>
        <w:t xml:space="preserve">Where a serious allegation has been made that could result in reprisals against the Discloser, the recipient of the information (such as the Manager or Human Resources) must treat the disclosure confidentially and immediately report the disclosure to the </w:t>
      </w:r>
      <w:proofErr w:type="spellStart"/>
      <w:r w:rsidRPr="00EF2EDD">
        <w:rPr>
          <w:sz w:val="20"/>
          <w:szCs w:val="20"/>
        </w:rPr>
        <w:t>Whistleblower</w:t>
      </w:r>
      <w:proofErr w:type="spellEnd"/>
      <w:r w:rsidRPr="00EF2EDD">
        <w:rPr>
          <w:sz w:val="20"/>
          <w:szCs w:val="20"/>
        </w:rPr>
        <w:t xml:space="preserve"> Protection Officer (Company Secretary), so that the information can be dealt with under the Protected Disclosure Procedure.</w:t>
      </w:r>
    </w:p>
    <w:p w:rsidR="00ED1C30" w:rsidRPr="00EF2EDD" w:rsidRDefault="00ED1C30" w:rsidP="00ED1C30">
      <w:pPr>
        <w:ind w:left="850"/>
        <w:rPr>
          <w:sz w:val="20"/>
          <w:szCs w:val="20"/>
        </w:rPr>
      </w:pPr>
    </w:p>
    <w:p w:rsidR="00ED1C30" w:rsidRPr="00EF2EDD" w:rsidRDefault="00ED1C30" w:rsidP="00ED1C30">
      <w:pPr>
        <w:ind w:left="850"/>
        <w:rPr>
          <w:sz w:val="20"/>
          <w:szCs w:val="20"/>
        </w:rPr>
      </w:pPr>
      <w:r w:rsidRPr="00EF2EDD">
        <w:rPr>
          <w:sz w:val="20"/>
          <w:szCs w:val="20"/>
        </w:rPr>
        <w:t xml:space="preserve">Intentionally false or misleading information </w:t>
      </w:r>
      <w:r w:rsidRPr="00EF2EDD">
        <w:rPr>
          <w:b/>
          <w:sz w:val="20"/>
          <w:szCs w:val="20"/>
        </w:rPr>
        <w:t>must not</w:t>
      </w:r>
      <w:r w:rsidRPr="00EF2EDD">
        <w:rPr>
          <w:sz w:val="20"/>
          <w:szCs w:val="20"/>
        </w:rPr>
        <w:t xml:space="preserve"> be provided when making a disclosure of information about a breach of this policy or in connection with an assessment or investigation about a breach of this policy. Disciplinary action may be taken against anyone found to have intentionally provided false or misleading information.  In some circumstances, providing false or misleading information could be a criminal offence.</w:t>
      </w:r>
    </w:p>
    <w:p w:rsidR="00D2646C" w:rsidRPr="00EF2EDD" w:rsidRDefault="00ED1C30" w:rsidP="005271C2">
      <w:pPr>
        <w:pStyle w:val="SCL-Heading2"/>
        <w:spacing w:after="120"/>
        <w:ind w:left="850"/>
        <w:rPr>
          <w:sz w:val="24"/>
          <w:szCs w:val="24"/>
        </w:rPr>
      </w:pPr>
      <w:r w:rsidRPr="00EF2EDD">
        <w:rPr>
          <w:sz w:val="24"/>
          <w:szCs w:val="24"/>
        </w:rPr>
        <w:t>Unaccep</w:t>
      </w:r>
      <w:r w:rsidR="005271C2" w:rsidRPr="00EF2EDD">
        <w:rPr>
          <w:sz w:val="24"/>
          <w:szCs w:val="24"/>
        </w:rPr>
        <w:t>t</w:t>
      </w:r>
      <w:r w:rsidRPr="00EF2EDD">
        <w:rPr>
          <w:sz w:val="24"/>
          <w:szCs w:val="24"/>
        </w:rPr>
        <w:t>able use of Stanwell’s Information Systems</w:t>
      </w:r>
    </w:p>
    <w:p w:rsidR="00ED1C30" w:rsidRPr="00EF2EDD" w:rsidRDefault="00ED1C30" w:rsidP="00ED1C30">
      <w:pPr>
        <w:ind w:left="850"/>
        <w:rPr>
          <w:sz w:val="20"/>
          <w:szCs w:val="20"/>
        </w:rPr>
      </w:pPr>
      <w:r w:rsidRPr="00EF2EDD">
        <w:rPr>
          <w:sz w:val="20"/>
          <w:szCs w:val="20"/>
        </w:rPr>
        <w:t>The following activities are prohibited.  This list is not exhaustive, it provides a framework for activities which fall into the category of unacceptable use, including:</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Engaging in activities for personal financial gain or profit</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Gambling, other than a raffle or competition organised by or endorsed by Stanwell</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Soliciting others for activities unrelated to Stanwell’s business or in connection with political campaigns or lobbying</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Infringing on another’s intellectual property rights (</w:t>
      </w:r>
      <w:proofErr w:type="spellStart"/>
      <w:r w:rsidRPr="00EF2EDD">
        <w:rPr>
          <w:sz w:val="20"/>
          <w:szCs w:val="20"/>
        </w:rPr>
        <w:t>eg</w:t>
      </w:r>
      <w:proofErr w:type="spellEnd"/>
      <w:r w:rsidRPr="00EF2EDD">
        <w:rPr>
          <w:sz w:val="20"/>
          <w:szCs w:val="20"/>
        </w:rPr>
        <w:t xml:space="preserve"> copyright, moral rights)</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Infringing on another’s right to privacy</w:t>
      </w:r>
    </w:p>
    <w:p w:rsidR="00ED1C30" w:rsidRPr="00B83BE2" w:rsidRDefault="00ED1C30" w:rsidP="00ED1C30">
      <w:pPr>
        <w:pStyle w:val="ListParagraph"/>
        <w:numPr>
          <w:ilvl w:val="0"/>
          <w:numId w:val="32"/>
        </w:numPr>
        <w:spacing w:before="120" w:after="120"/>
        <w:ind w:left="1565" w:hanging="357"/>
        <w:rPr>
          <w:sz w:val="20"/>
          <w:szCs w:val="20"/>
        </w:rPr>
      </w:pPr>
      <w:r w:rsidRPr="00B83BE2">
        <w:rPr>
          <w:sz w:val="20"/>
          <w:szCs w:val="20"/>
        </w:rPr>
        <w:t>Representing a personal opinion as being the opinion of Stanwell</w:t>
      </w:r>
      <w:r w:rsidR="00B83BE2" w:rsidRPr="00B83BE2">
        <w:rPr>
          <w:sz w:val="20"/>
          <w:szCs w:val="20"/>
        </w:rPr>
        <w:t>, either explicitly or implicitly</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Perpetrating fraud</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Revealing Stanwell’s proprietary, classified or confidential information</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Accessing, downloading, transmitting or storing material which could reasonably be found to be offensive, violent, defamatory, sexually explicit, pornographic, discriminatory, harassing or which is intended to or may inflict harm to another party</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Accessing information which is not reasonably required for the user’s role</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Downloading software that is not licensed and approved for use by Stanwell</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Inappropriate use of email distribution lists and broadcast messages</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Broadcasting of unsolicited views on social, political, religious or other non-business related matters</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Attempting to penetrate computer or network security of any company or other system, or attempt to access without authorisation any other person’s computer, email or devices</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Intentionally introducing computer viruses</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Violating or attempting to violate any law</w:t>
      </w:r>
    </w:p>
    <w:p w:rsidR="00ED1C30" w:rsidRPr="00EF2EDD" w:rsidRDefault="00ED1C30" w:rsidP="00ED1C30">
      <w:pPr>
        <w:pStyle w:val="ListParagraph"/>
        <w:numPr>
          <w:ilvl w:val="0"/>
          <w:numId w:val="32"/>
        </w:numPr>
        <w:spacing w:before="120" w:after="120"/>
        <w:ind w:left="1565" w:hanging="357"/>
        <w:rPr>
          <w:sz w:val="20"/>
          <w:szCs w:val="20"/>
        </w:rPr>
      </w:pPr>
      <w:r w:rsidRPr="00EF2EDD">
        <w:rPr>
          <w:sz w:val="20"/>
          <w:szCs w:val="20"/>
        </w:rPr>
        <w:t>Inappropriate use of email, including sharing content which may contain:</w:t>
      </w:r>
    </w:p>
    <w:p w:rsidR="00ED1C30" w:rsidRPr="00EF2EDD" w:rsidRDefault="00ED1C30" w:rsidP="00ED1C30">
      <w:pPr>
        <w:pStyle w:val="ListParagraph"/>
        <w:numPr>
          <w:ilvl w:val="1"/>
          <w:numId w:val="32"/>
        </w:numPr>
        <w:spacing w:before="120" w:after="120"/>
        <w:rPr>
          <w:sz w:val="20"/>
          <w:szCs w:val="20"/>
        </w:rPr>
      </w:pPr>
      <w:r w:rsidRPr="00EF2EDD">
        <w:rPr>
          <w:sz w:val="20"/>
          <w:szCs w:val="20"/>
        </w:rPr>
        <w:t>Sexually explicit material including images, cartoons and jokes</w:t>
      </w:r>
    </w:p>
    <w:p w:rsidR="00ED1C30" w:rsidRPr="00EF2EDD" w:rsidRDefault="00ED1C30" w:rsidP="00ED1C30">
      <w:pPr>
        <w:pStyle w:val="ListParagraph"/>
        <w:numPr>
          <w:ilvl w:val="1"/>
          <w:numId w:val="32"/>
        </w:numPr>
        <w:spacing w:before="120" w:after="120"/>
        <w:rPr>
          <w:sz w:val="20"/>
          <w:szCs w:val="20"/>
        </w:rPr>
      </w:pPr>
      <w:r w:rsidRPr="00EF2EDD">
        <w:rPr>
          <w:sz w:val="20"/>
          <w:szCs w:val="20"/>
        </w:rPr>
        <w:t>Material including gossip or innuendo about co-workers</w:t>
      </w:r>
    </w:p>
    <w:p w:rsidR="00ED1C30" w:rsidRPr="00EF2EDD" w:rsidRDefault="00ED1C30" w:rsidP="00ED1C30">
      <w:pPr>
        <w:pStyle w:val="ListParagraph"/>
        <w:numPr>
          <w:ilvl w:val="1"/>
          <w:numId w:val="32"/>
        </w:numPr>
        <w:spacing w:before="120" w:after="120"/>
        <w:rPr>
          <w:sz w:val="20"/>
          <w:szCs w:val="20"/>
        </w:rPr>
      </w:pPr>
      <w:r w:rsidRPr="00EF2EDD">
        <w:rPr>
          <w:sz w:val="20"/>
          <w:szCs w:val="20"/>
        </w:rPr>
        <w:t>Harassing, bullying or unwelcome propositions</w:t>
      </w:r>
    </w:p>
    <w:p w:rsidR="00ED1C30" w:rsidRPr="00EF2EDD" w:rsidRDefault="00ED1C30" w:rsidP="00ED1C30">
      <w:pPr>
        <w:pStyle w:val="ListParagraph"/>
        <w:numPr>
          <w:ilvl w:val="1"/>
          <w:numId w:val="32"/>
        </w:numPr>
        <w:spacing w:before="120" w:after="120"/>
        <w:rPr>
          <w:sz w:val="20"/>
          <w:szCs w:val="20"/>
        </w:rPr>
      </w:pPr>
      <w:r w:rsidRPr="00EF2EDD">
        <w:rPr>
          <w:sz w:val="20"/>
          <w:szCs w:val="20"/>
        </w:rPr>
        <w:t>Profanity, obscenity, slander or libel</w:t>
      </w:r>
    </w:p>
    <w:p w:rsidR="00ED1C30" w:rsidRPr="00EF2EDD" w:rsidRDefault="00ED1C30" w:rsidP="00ED1C30">
      <w:pPr>
        <w:pStyle w:val="ListParagraph"/>
        <w:numPr>
          <w:ilvl w:val="1"/>
          <w:numId w:val="32"/>
        </w:numPr>
        <w:spacing w:before="120" w:after="120"/>
        <w:rPr>
          <w:sz w:val="20"/>
          <w:szCs w:val="20"/>
        </w:rPr>
      </w:pPr>
      <w:r w:rsidRPr="00EF2EDD">
        <w:rPr>
          <w:sz w:val="20"/>
          <w:szCs w:val="20"/>
        </w:rPr>
        <w:t>Political, ethnic, religious or racial slurs</w:t>
      </w:r>
    </w:p>
    <w:p w:rsidR="00ED1C30" w:rsidRPr="00EF2EDD" w:rsidRDefault="00ED1C30" w:rsidP="00ED1C30">
      <w:pPr>
        <w:ind w:left="850"/>
        <w:rPr>
          <w:sz w:val="20"/>
          <w:szCs w:val="20"/>
        </w:rPr>
      </w:pPr>
    </w:p>
    <w:p w:rsidR="00ED1C30" w:rsidRPr="00EF2EDD" w:rsidRDefault="00ED1C30" w:rsidP="00ED1C30">
      <w:pPr>
        <w:ind w:left="850"/>
        <w:rPr>
          <w:sz w:val="20"/>
          <w:szCs w:val="20"/>
        </w:rPr>
      </w:pPr>
      <w:r w:rsidRPr="00EF2EDD">
        <w:rPr>
          <w:sz w:val="20"/>
          <w:szCs w:val="20"/>
        </w:rPr>
        <w:lastRenderedPageBreak/>
        <w:t>In the event that inappropriate or prohibited content is received from either an internal or external source, delete the email immediately and do not store or distribute further.  Users must take reasonable action, including requesting that senders do not transmit such material.</w:t>
      </w:r>
    </w:p>
    <w:p w:rsidR="00D2646C" w:rsidRPr="00EF2EDD" w:rsidRDefault="00615143" w:rsidP="005271C2">
      <w:pPr>
        <w:pStyle w:val="SCL-Heading2"/>
        <w:spacing w:after="120"/>
        <w:ind w:left="850"/>
        <w:rPr>
          <w:sz w:val="24"/>
          <w:szCs w:val="24"/>
        </w:rPr>
      </w:pPr>
      <w:r w:rsidRPr="00EF2EDD">
        <w:rPr>
          <w:sz w:val="24"/>
          <w:szCs w:val="24"/>
        </w:rPr>
        <w:t>Usage Monitoring</w:t>
      </w:r>
    </w:p>
    <w:p w:rsidR="00ED1C30" w:rsidRPr="00EF2EDD" w:rsidRDefault="00ED1C30" w:rsidP="008B4998">
      <w:pPr>
        <w:autoSpaceDE w:val="0"/>
        <w:autoSpaceDN w:val="0"/>
        <w:adjustRightInd w:val="0"/>
        <w:spacing w:before="120" w:after="120"/>
        <w:ind w:left="851"/>
        <w:jc w:val="both"/>
        <w:rPr>
          <w:rFonts w:cs="Arial"/>
          <w:b/>
          <w:color w:val="000000"/>
          <w:sz w:val="20"/>
          <w:szCs w:val="20"/>
        </w:rPr>
      </w:pPr>
      <w:r w:rsidRPr="00EF2EDD">
        <w:rPr>
          <w:sz w:val="20"/>
          <w:szCs w:val="20"/>
        </w:rPr>
        <w:t>Stanwell retains the right to review, audit, intercept, access and disclose information stored, created, received or sent using Stanwell Information Systems.</w:t>
      </w:r>
    </w:p>
    <w:p w:rsidR="000315FB" w:rsidRPr="00EF2EDD" w:rsidRDefault="000315FB" w:rsidP="005271C2">
      <w:pPr>
        <w:pStyle w:val="SCL-Heading2"/>
        <w:spacing w:after="120"/>
        <w:ind w:left="850"/>
        <w:rPr>
          <w:sz w:val="24"/>
          <w:szCs w:val="24"/>
        </w:rPr>
      </w:pPr>
      <w:r w:rsidRPr="00EF2EDD">
        <w:rPr>
          <w:sz w:val="24"/>
          <w:szCs w:val="24"/>
        </w:rPr>
        <w:t>Software</w:t>
      </w:r>
      <w:r w:rsidR="00ED1C30" w:rsidRPr="00EF2EDD">
        <w:rPr>
          <w:sz w:val="24"/>
          <w:szCs w:val="24"/>
        </w:rPr>
        <w:t xml:space="preserve"> and hardware</w:t>
      </w:r>
    </w:p>
    <w:p w:rsidR="00ED1C30" w:rsidRPr="00EF2EDD" w:rsidRDefault="00ED1C30" w:rsidP="005271C2">
      <w:pPr>
        <w:spacing w:beforeLines="120" w:before="288" w:afterLines="120" w:after="288"/>
        <w:ind w:left="850"/>
        <w:rPr>
          <w:sz w:val="20"/>
          <w:szCs w:val="20"/>
        </w:rPr>
      </w:pPr>
      <w:r w:rsidRPr="00EF2EDD">
        <w:rPr>
          <w:sz w:val="20"/>
          <w:szCs w:val="20"/>
        </w:rPr>
        <w:t>Only software licensed and approved for use by Stanwell is to be installed on Stanwell systems. Users who download files may be held responsible for costs incurred by virus damage or unlicensed software.</w:t>
      </w:r>
    </w:p>
    <w:p w:rsidR="003C785B" w:rsidRPr="00EF2EDD" w:rsidRDefault="00ED1C30" w:rsidP="005271C2">
      <w:pPr>
        <w:autoSpaceDE w:val="0"/>
        <w:autoSpaceDN w:val="0"/>
        <w:adjustRightInd w:val="0"/>
        <w:spacing w:beforeLines="120" w:before="288" w:afterLines="120" w:after="288"/>
        <w:ind w:left="851"/>
        <w:jc w:val="both"/>
        <w:rPr>
          <w:rFonts w:cs="Arial"/>
          <w:color w:val="000000"/>
          <w:sz w:val="20"/>
          <w:szCs w:val="20"/>
        </w:rPr>
      </w:pPr>
      <w:r w:rsidRPr="00EF2EDD">
        <w:rPr>
          <w:sz w:val="20"/>
          <w:szCs w:val="20"/>
        </w:rPr>
        <w:t xml:space="preserve">Only Stanwell supplied computer hardware and devices are approved for connecting to the </w:t>
      </w:r>
      <w:r w:rsidR="00527B0D" w:rsidRPr="00EF2EDD">
        <w:rPr>
          <w:sz w:val="20"/>
          <w:szCs w:val="20"/>
        </w:rPr>
        <w:t>Stanwell Corporate</w:t>
      </w:r>
      <w:r w:rsidRPr="00EF2EDD">
        <w:rPr>
          <w:sz w:val="20"/>
          <w:szCs w:val="20"/>
        </w:rPr>
        <w:t xml:space="preserve"> network.  </w:t>
      </w:r>
      <w:r w:rsidR="00527B0D" w:rsidRPr="00EF2EDD">
        <w:rPr>
          <w:sz w:val="20"/>
          <w:szCs w:val="20"/>
        </w:rPr>
        <w:t>Personal devices may be connected to the Stanwell Guest network.  USB memory sticks should only be used as a last resort.</w:t>
      </w:r>
    </w:p>
    <w:p w:rsidR="000315FB" w:rsidRPr="00EF2EDD" w:rsidRDefault="000315FB" w:rsidP="005271C2">
      <w:pPr>
        <w:pStyle w:val="SCL-Heading2"/>
        <w:spacing w:after="120"/>
        <w:ind w:left="850"/>
        <w:rPr>
          <w:sz w:val="24"/>
          <w:szCs w:val="24"/>
        </w:rPr>
      </w:pPr>
      <w:r w:rsidRPr="00EF2EDD">
        <w:rPr>
          <w:sz w:val="24"/>
          <w:szCs w:val="24"/>
        </w:rPr>
        <w:t>Mobile Devices</w:t>
      </w:r>
    </w:p>
    <w:p w:rsidR="00ED1C30" w:rsidRPr="00EF2EDD" w:rsidRDefault="001A6A3E" w:rsidP="00ED1C30">
      <w:pPr>
        <w:ind w:left="850"/>
        <w:rPr>
          <w:sz w:val="20"/>
          <w:szCs w:val="20"/>
        </w:rPr>
      </w:pPr>
      <w:r w:rsidRPr="00EF2EDD">
        <w:rPr>
          <w:sz w:val="20"/>
          <w:szCs w:val="20"/>
        </w:rPr>
        <w:t xml:space="preserve">Stanwell issues mobile devices in accordance with the Mobile Device Allocation Procedure.  </w:t>
      </w:r>
      <w:r w:rsidR="00ED1C30" w:rsidRPr="00EF2EDD">
        <w:rPr>
          <w:sz w:val="20"/>
          <w:szCs w:val="20"/>
        </w:rPr>
        <w:t xml:space="preserve">Users of Stanwell issued mobile devices such as smart phones and tablets are permitted reasonable private use.  </w:t>
      </w:r>
    </w:p>
    <w:p w:rsidR="00ED1C30" w:rsidRPr="00EF2EDD" w:rsidRDefault="00ED1C30" w:rsidP="00ED1C30">
      <w:pPr>
        <w:ind w:left="850"/>
        <w:rPr>
          <w:sz w:val="20"/>
          <w:szCs w:val="20"/>
        </w:rPr>
      </w:pPr>
    </w:p>
    <w:p w:rsidR="00ED1C30" w:rsidRPr="00EF2EDD" w:rsidRDefault="00527B0D" w:rsidP="00ED1C30">
      <w:pPr>
        <w:ind w:left="850"/>
        <w:rPr>
          <w:sz w:val="20"/>
          <w:szCs w:val="20"/>
        </w:rPr>
      </w:pPr>
      <w:r w:rsidRPr="00EF2EDD">
        <w:rPr>
          <w:sz w:val="20"/>
          <w:szCs w:val="20"/>
        </w:rPr>
        <w:t>Users may access Stanwell email, calendar and contacts from their Stanwell issued or personal mobile device once they have completed a Mobile Device Connectivity Agreement.  All risks and costs associated with personal devices are to be borne by the user and are not the responsibility of Stanwell.</w:t>
      </w:r>
    </w:p>
    <w:p w:rsidR="00AB6548" w:rsidRPr="00EF2EDD" w:rsidRDefault="00AB6548" w:rsidP="005271C2">
      <w:pPr>
        <w:pStyle w:val="SCL-Heading2"/>
        <w:spacing w:after="120"/>
        <w:ind w:left="850"/>
        <w:rPr>
          <w:sz w:val="24"/>
          <w:szCs w:val="24"/>
        </w:rPr>
      </w:pPr>
      <w:r w:rsidRPr="00EF2EDD">
        <w:rPr>
          <w:sz w:val="24"/>
          <w:szCs w:val="24"/>
        </w:rPr>
        <w:t>Security</w:t>
      </w:r>
    </w:p>
    <w:p w:rsidR="005271C2" w:rsidRPr="00EF2EDD" w:rsidRDefault="005271C2" w:rsidP="005271C2">
      <w:pPr>
        <w:spacing w:before="120" w:afterLines="120" w:after="288"/>
        <w:ind w:left="850"/>
        <w:rPr>
          <w:sz w:val="20"/>
          <w:szCs w:val="20"/>
        </w:rPr>
      </w:pPr>
      <w:r w:rsidRPr="00EF2EDD">
        <w:rPr>
          <w:sz w:val="20"/>
          <w:szCs w:val="20"/>
        </w:rPr>
        <w:t>Stanwell’s Information Systems are accessed by unique usernames and passwords.  Passwords must be changed when periodically prompted at log in.</w:t>
      </w:r>
    </w:p>
    <w:p w:rsidR="00527B0D" w:rsidRPr="00EF2EDD" w:rsidRDefault="005271C2" w:rsidP="005271C2">
      <w:pPr>
        <w:spacing w:before="120" w:afterLines="120" w:after="288"/>
        <w:ind w:left="850"/>
        <w:rPr>
          <w:sz w:val="20"/>
          <w:szCs w:val="20"/>
        </w:rPr>
      </w:pPr>
      <w:r w:rsidRPr="00EF2EDD">
        <w:rPr>
          <w:sz w:val="20"/>
          <w:szCs w:val="20"/>
        </w:rPr>
        <w:t>It is prohibited to use another person’s username and password.  Users must not divulge their username or password to anyone, or record their password where it may be associated with their username.  If a password is disclosed, the user must immediately change the password.</w:t>
      </w:r>
    </w:p>
    <w:p w:rsidR="00527B0D" w:rsidRPr="00EF2EDD" w:rsidRDefault="00527B0D" w:rsidP="005271C2">
      <w:pPr>
        <w:spacing w:before="120" w:afterLines="120" w:after="288"/>
        <w:ind w:left="850"/>
        <w:rPr>
          <w:sz w:val="20"/>
          <w:szCs w:val="20"/>
        </w:rPr>
      </w:pPr>
      <w:r w:rsidRPr="00EF2EDD">
        <w:rPr>
          <w:sz w:val="20"/>
          <w:szCs w:val="20"/>
        </w:rPr>
        <w:t>Access to sensitive systems (including ERP and Payroll) will be reviewed on an annual basis.</w:t>
      </w:r>
    </w:p>
    <w:p w:rsidR="005271C2" w:rsidRPr="00EF2EDD" w:rsidRDefault="00AB6548" w:rsidP="005271C2">
      <w:pPr>
        <w:pStyle w:val="SCL-Heading2"/>
        <w:spacing w:after="120"/>
        <w:ind w:left="850"/>
        <w:rPr>
          <w:sz w:val="24"/>
          <w:szCs w:val="24"/>
        </w:rPr>
      </w:pPr>
      <w:r w:rsidRPr="00EF2EDD">
        <w:rPr>
          <w:sz w:val="24"/>
          <w:szCs w:val="24"/>
        </w:rPr>
        <w:t xml:space="preserve">Remote </w:t>
      </w:r>
      <w:r w:rsidR="00E04B69" w:rsidRPr="00EF2EDD">
        <w:rPr>
          <w:sz w:val="24"/>
          <w:szCs w:val="24"/>
        </w:rPr>
        <w:t>a</w:t>
      </w:r>
      <w:r w:rsidRPr="00EF2EDD">
        <w:rPr>
          <w:sz w:val="24"/>
          <w:szCs w:val="24"/>
        </w:rPr>
        <w:t xml:space="preserve">ccess </w:t>
      </w:r>
    </w:p>
    <w:p w:rsidR="005271C2" w:rsidRPr="00EF2EDD" w:rsidRDefault="005271C2" w:rsidP="005271C2">
      <w:pPr>
        <w:ind w:left="850"/>
        <w:rPr>
          <w:rFonts w:cs="Arial"/>
          <w:color w:val="000000"/>
          <w:sz w:val="20"/>
          <w:szCs w:val="20"/>
        </w:rPr>
      </w:pPr>
      <w:r w:rsidRPr="00EF2EDD">
        <w:rPr>
          <w:sz w:val="20"/>
          <w:szCs w:val="20"/>
        </w:rPr>
        <w:t>All reasonable care must be taken to ensure that any device being used to connect to Stanwell’s information Systems is free from spyware and viruses by ensuring the device has appropriate firewall and antivirus protection.  Users must ensure that devices are not left unattended or in a position where unauthorised access could occur.</w:t>
      </w:r>
    </w:p>
    <w:p w:rsidR="005271C2" w:rsidRPr="00EF2EDD" w:rsidRDefault="005271C2" w:rsidP="005271C2">
      <w:pPr>
        <w:pStyle w:val="SCL-Heading1"/>
        <w:spacing w:before="240"/>
        <w:rPr>
          <w:sz w:val="28"/>
          <w:szCs w:val="28"/>
        </w:rPr>
      </w:pPr>
      <w:r w:rsidRPr="00EF2EDD">
        <w:rPr>
          <w:sz w:val="28"/>
          <w:szCs w:val="28"/>
        </w:rPr>
        <w:t>Responsibilities and authorities</w:t>
      </w:r>
    </w:p>
    <w:p w:rsidR="005271C2" w:rsidRPr="00EF2EDD" w:rsidRDefault="005271C2" w:rsidP="005271C2">
      <w:pPr>
        <w:ind w:left="720"/>
        <w:rPr>
          <w:sz w:val="20"/>
          <w:szCs w:val="20"/>
        </w:rPr>
      </w:pPr>
      <w:r w:rsidRPr="00EF2EDD">
        <w:rPr>
          <w:b/>
          <w:sz w:val="20"/>
          <w:szCs w:val="20"/>
        </w:rPr>
        <w:t>Our people</w:t>
      </w:r>
      <w:r w:rsidRPr="00EF2EDD">
        <w:rPr>
          <w:sz w:val="20"/>
          <w:szCs w:val="20"/>
        </w:rPr>
        <w:t xml:space="preserve"> must: </w:t>
      </w:r>
    </w:p>
    <w:p w:rsidR="005271C2" w:rsidRPr="00EF2EDD" w:rsidRDefault="005271C2" w:rsidP="005271C2">
      <w:pPr>
        <w:pStyle w:val="SCL-BulletedContent"/>
        <w:tabs>
          <w:tab w:val="clear" w:pos="1069"/>
          <w:tab w:val="num" w:pos="1418"/>
        </w:tabs>
        <w:ind w:left="1418" w:hanging="567"/>
        <w:rPr>
          <w:rFonts w:cs="Arial"/>
          <w:szCs w:val="20"/>
        </w:rPr>
      </w:pPr>
      <w:r w:rsidRPr="00EF2EDD">
        <w:rPr>
          <w:b/>
          <w:szCs w:val="20"/>
        </w:rPr>
        <w:t>ensure</w:t>
      </w:r>
      <w:r w:rsidRPr="00EF2EDD">
        <w:rPr>
          <w:szCs w:val="20"/>
        </w:rPr>
        <w:t xml:space="preserve"> that Stanwell is not brought into disrepute when using Information Systems for </w:t>
      </w:r>
      <w:r w:rsidRPr="00EF2EDD">
        <w:rPr>
          <w:rFonts w:cs="Arial"/>
          <w:szCs w:val="20"/>
        </w:rPr>
        <w:t>professional or personal purposes, or release confidential information;</w:t>
      </w:r>
    </w:p>
    <w:p w:rsidR="005271C2" w:rsidRPr="00EF2EDD" w:rsidRDefault="005271C2" w:rsidP="005271C2">
      <w:pPr>
        <w:pStyle w:val="SCL-BulletedContent"/>
        <w:tabs>
          <w:tab w:val="clear" w:pos="1069"/>
          <w:tab w:val="num" w:pos="1418"/>
        </w:tabs>
        <w:ind w:left="1418" w:hanging="567"/>
        <w:rPr>
          <w:rFonts w:cs="Arial"/>
          <w:szCs w:val="20"/>
        </w:rPr>
      </w:pPr>
      <w:r w:rsidRPr="00EF2EDD">
        <w:rPr>
          <w:rFonts w:cs="Arial"/>
          <w:b/>
          <w:szCs w:val="20"/>
        </w:rPr>
        <w:t>comply</w:t>
      </w:r>
      <w:r w:rsidRPr="00EF2EDD">
        <w:rPr>
          <w:rFonts w:cs="Arial"/>
          <w:szCs w:val="20"/>
        </w:rPr>
        <w:t xml:space="preserve"> with this procedure; and the standard of expected behaviour detailed in the Code of Conduct; and </w:t>
      </w:r>
    </w:p>
    <w:p w:rsidR="005271C2" w:rsidRPr="00EF2EDD" w:rsidRDefault="005271C2" w:rsidP="005271C2">
      <w:pPr>
        <w:pStyle w:val="SCL-BulletedContent"/>
        <w:tabs>
          <w:tab w:val="clear" w:pos="1069"/>
          <w:tab w:val="num" w:pos="1418"/>
        </w:tabs>
        <w:ind w:left="1418" w:hanging="567"/>
        <w:rPr>
          <w:rFonts w:cs="Arial"/>
          <w:szCs w:val="20"/>
        </w:rPr>
      </w:pPr>
      <w:r w:rsidRPr="00EF2EDD">
        <w:rPr>
          <w:rFonts w:cs="Arial"/>
          <w:b/>
          <w:szCs w:val="20"/>
        </w:rPr>
        <w:t>follow</w:t>
      </w:r>
      <w:r w:rsidRPr="00EF2EDD">
        <w:rPr>
          <w:rFonts w:cs="Arial"/>
          <w:szCs w:val="20"/>
        </w:rPr>
        <w:t xml:space="preserve"> the Protected Disclosures Procedure to report any breaches of the Policy</w:t>
      </w:r>
    </w:p>
    <w:p w:rsidR="005271C2" w:rsidRPr="00EF2EDD" w:rsidRDefault="005271C2" w:rsidP="005271C2">
      <w:pPr>
        <w:pStyle w:val="SCL-ContentText"/>
        <w:ind w:left="902"/>
        <w:rPr>
          <w:b/>
          <w:sz w:val="20"/>
          <w:szCs w:val="20"/>
        </w:rPr>
      </w:pPr>
    </w:p>
    <w:p w:rsidR="005271C2" w:rsidRPr="00EF2EDD" w:rsidRDefault="005271C2" w:rsidP="005271C2">
      <w:pPr>
        <w:pStyle w:val="SCL-ContentText"/>
        <w:ind w:left="902"/>
        <w:rPr>
          <w:sz w:val="20"/>
          <w:szCs w:val="20"/>
        </w:rPr>
      </w:pPr>
      <w:r w:rsidRPr="00EF2EDD">
        <w:rPr>
          <w:b/>
          <w:sz w:val="20"/>
          <w:szCs w:val="20"/>
        </w:rPr>
        <w:lastRenderedPageBreak/>
        <w:t>Managers and supervisors</w:t>
      </w:r>
      <w:r w:rsidRPr="00EF2EDD">
        <w:rPr>
          <w:sz w:val="20"/>
          <w:szCs w:val="20"/>
        </w:rPr>
        <w:t xml:space="preserve"> must make sure their employees and contractors know about the Information Systems Usage Policy.</w:t>
      </w:r>
    </w:p>
    <w:p w:rsidR="005271C2" w:rsidRPr="00EF2EDD" w:rsidRDefault="005271C2" w:rsidP="005271C2">
      <w:pPr>
        <w:pStyle w:val="SCL-ContentText"/>
        <w:ind w:left="902"/>
        <w:rPr>
          <w:sz w:val="20"/>
          <w:szCs w:val="20"/>
        </w:rPr>
      </w:pPr>
    </w:p>
    <w:p w:rsidR="005271C2" w:rsidRPr="00EF2EDD" w:rsidRDefault="005271C2" w:rsidP="005271C2">
      <w:pPr>
        <w:pStyle w:val="SCL-ContentText"/>
        <w:ind w:left="902"/>
        <w:rPr>
          <w:sz w:val="20"/>
          <w:szCs w:val="20"/>
        </w:rPr>
      </w:pPr>
      <w:r w:rsidRPr="00EF2EDD">
        <w:rPr>
          <w:b/>
          <w:sz w:val="20"/>
          <w:szCs w:val="20"/>
        </w:rPr>
        <w:t xml:space="preserve">The General Manager Information and </w:t>
      </w:r>
      <w:r w:rsidR="00625C88" w:rsidRPr="00EF2EDD">
        <w:rPr>
          <w:b/>
          <w:sz w:val="20"/>
          <w:szCs w:val="20"/>
        </w:rPr>
        <w:t>Communication Technology</w:t>
      </w:r>
      <w:r w:rsidRPr="00EF2EDD">
        <w:rPr>
          <w:sz w:val="20"/>
          <w:szCs w:val="20"/>
        </w:rPr>
        <w:t xml:space="preserve"> must ensure that the Policy is maintained to reflect the current technical environment, that all approved software is free from viruses, </w:t>
      </w:r>
      <w:proofErr w:type="spellStart"/>
      <w:r w:rsidR="00625C88" w:rsidRPr="00EF2EDD">
        <w:rPr>
          <w:sz w:val="20"/>
          <w:szCs w:val="20"/>
        </w:rPr>
        <w:t>trojans</w:t>
      </w:r>
      <w:proofErr w:type="spellEnd"/>
      <w:r w:rsidR="00625C88" w:rsidRPr="00EF2EDD">
        <w:rPr>
          <w:sz w:val="20"/>
          <w:szCs w:val="20"/>
        </w:rPr>
        <w:t>, malware</w:t>
      </w:r>
      <w:r w:rsidRPr="00EF2EDD">
        <w:rPr>
          <w:sz w:val="20"/>
          <w:szCs w:val="20"/>
        </w:rPr>
        <w:t xml:space="preserve"> and anything which would adversely affect existing systems, and that hardware is fit for purpose.</w:t>
      </w:r>
    </w:p>
    <w:p w:rsidR="005271C2" w:rsidRPr="00EF2EDD" w:rsidRDefault="005271C2" w:rsidP="005271C2">
      <w:pPr>
        <w:pStyle w:val="SCL-ContentText"/>
        <w:ind w:left="902"/>
        <w:rPr>
          <w:b/>
          <w:sz w:val="20"/>
          <w:szCs w:val="20"/>
        </w:rPr>
      </w:pPr>
    </w:p>
    <w:p w:rsidR="00B60597" w:rsidRPr="00F4667A" w:rsidRDefault="005271C2" w:rsidP="005271C2">
      <w:pPr>
        <w:pStyle w:val="SCL-ContentText"/>
        <w:ind w:left="902"/>
        <w:rPr>
          <w:sz w:val="20"/>
          <w:szCs w:val="20"/>
        </w:rPr>
      </w:pPr>
      <w:r w:rsidRPr="00F4667A">
        <w:rPr>
          <w:b/>
          <w:sz w:val="20"/>
          <w:szCs w:val="20"/>
        </w:rPr>
        <w:t>The Executive General Manager Business Services</w:t>
      </w:r>
      <w:r w:rsidRPr="00F4667A">
        <w:rPr>
          <w:sz w:val="20"/>
          <w:szCs w:val="20"/>
        </w:rPr>
        <w:t xml:space="preserve"> </w:t>
      </w:r>
      <w:r w:rsidR="00B60597" w:rsidRPr="00F4667A">
        <w:rPr>
          <w:sz w:val="20"/>
          <w:szCs w:val="20"/>
        </w:rPr>
        <w:t>must ensure that our people are trained on the Policy</w:t>
      </w:r>
    </w:p>
    <w:p w:rsidR="00B60597" w:rsidRPr="00F4667A" w:rsidRDefault="00B60597" w:rsidP="005271C2">
      <w:pPr>
        <w:pStyle w:val="SCL-ContentText"/>
        <w:ind w:left="902"/>
        <w:rPr>
          <w:sz w:val="20"/>
          <w:szCs w:val="20"/>
        </w:rPr>
      </w:pPr>
    </w:p>
    <w:p w:rsidR="00B60597" w:rsidRPr="00F4667A" w:rsidRDefault="00B60597" w:rsidP="00B60597">
      <w:pPr>
        <w:ind w:left="851"/>
        <w:rPr>
          <w:rFonts w:cs="Arial"/>
          <w:sz w:val="20"/>
          <w:szCs w:val="20"/>
        </w:rPr>
      </w:pPr>
      <w:r w:rsidRPr="00F4667A">
        <w:rPr>
          <w:rFonts w:cs="Arial"/>
          <w:sz w:val="20"/>
          <w:szCs w:val="20"/>
        </w:rPr>
        <w:t xml:space="preserve">The </w:t>
      </w:r>
      <w:r w:rsidRPr="00F4667A">
        <w:rPr>
          <w:rFonts w:cs="Arial"/>
          <w:b/>
          <w:sz w:val="20"/>
          <w:szCs w:val="20"/>
        </w:rPr>
        <w:t>Executive Leadership Team</w:t>
      </w:r>
      <w:r w:rsidRPr="00F4667A">
        <w:rPr>
          <w:rFonts w:cs="Arial"/>
          <w:sz w:val="20"/>
          <w:szCs w:val="20"/>
        </w:rPr>
        <w:t xml:space="preserve"> members must comply with the Policy and Procedure and make sure that the Policy and Procedure are followed.</w:t>
      </w:r>
    </w:p>
    <w:p w:rsidR="00B60597" w:rsidRPr="00F4667A" w:rsidRDefault="00B60597" w:rsidP="00B60597">
      <w:pPr>
        <w:ind w:left="720"/>
        <w:rPr>
          <w:rFonts w:cs="Arial"/>
          <w:sz w:val="20"/>
          <w:szCs w:val="20"/>
        </w:rPr>
      </w:pPr>
    </w:p>
    <w:p w:rsidR="00B60597" w:rsidRPr="00B60597" w:rsidRDefault="00B60597" w:rsidP="00B60597">
      <w:pPr>
        <w:pStyle w:val="SCL-ContentText"/>
        <w:ind w:left="902"/>
        <w:rPr>
          <w:sz w:val="20"/>
          <w:szCs w:val="20"/>
        </w:rPr>
      </w:pPr>
      <w:r w:rsidRPr="00F4667A">
        <w:rPr>
          <w:rFonts w:cs="Arial"/>
          <w:sz w:val="20"/>
          <w:szCs w:val="20"/>
        </w:rPr>
        <w:t xml:space="preserve">The </w:t>
      </w:r>
      <w:r w:rsidRPr="00F4667A">
        <w:rPr>
          <w:rFonts w:cs="Arial"/>
          <w:b/>
          <w:sz w:val="20"/>
          <w:szCs w:val="20"/>
        </w:rPr>
        <w:t>Stanwell Board</w:t>
      </w:r>
      <w:r w:rsidRPr="00F4667A">
        <w:rPr>
          <w:rFonts w:cs="Arial"/>
          <w:sz w:val="20"/>
          <w:szCs w:val="20"/>
        </w:rPr>
        <w:t xml:space="preserve"> has ultimate accountability for the Information System Usage Policy.</w:t>
      </w:r>
    </w:p>
    <w:p w:rsidR="00EF2EDD" w:rsidRDefault="00EF2EDD" w:rsidP="005271C2">
      <w:pPr>
        <w:pStyle w:val="SCL-ContentText"/>
        <w:ind w:left="902"/>
      </w:pPr>
    </w:p>
    <w:p w:rsidR="00B531DB" w:rsidRPr="00EF2EDD" w:rsidRDefault="00B531DB" w:rsidP="005271C2">
      <w:pPr>
        <w:pStyle w:val="SCL-Heading1"/>
        <w:spacing w:before="240"/>
        <w:rPr>
          <w:sz w:val="28"/>
          <w:szCs w:val="28"/>
        </w:rPr>
      </w:pPr>
      <w:r w:rsidRPr="00EF2EDD">
        <w:rPr>
          <w:sz w:val="28"/>
          <w:szCs w:val="28"/>
        </w:rPr>
        <w:t>Review and Consultation (Prior to Approval)</w:t>
      </w:r>
    </w:p>
    <w:p w:rsidR="005271C2" w:rsidRPr="00EF2EDD" w:rsidRDefault="005271C2" w:rsidP="005271C2">
      <w:pPr>
        <w:pStyle w:val="SCL-ContentText"/>
        <w:rPr>
          <w:sz w:val="20"/>
          <w:szCs w:val="20"/>
        </w:rPr>
      </w:pPr>
      <w:r w:rsidRPr="00EF2EDD">
        <w:rPr>
          <w:b/>
          <w:sz w:val="20"/>
          <w:szCs w:val="20"/>
        </w:rPr>
        <w:t xml:space="preserve">Review:  </w:t>
      </w:r>
      <w:r w:rsidRPr="00EF2EDD">
        <w:rPr>
          <w:sz w:val="20"/>
          <w:szCs w:val="20"/>
        </w:rPr>
        <w:t>This Document is required to be reviewed, as a minimum, every two years.</w:t>
      </w:r>
    </w:p>
    <w:p w:rsidR="005271C2" w:rsidRPr="00EF2EDD" w:rsidRDefault="005271C2" w:rsidP="005271C2">
      <w:pPr>
        <w:ind w:left="720"/>
        <w:rPr>
          <w:rFonts w:cs="Arial"/>
          <w:sz w:val="20"/>
          <w:szCs w:val="20"/>
        </w:rPr>
      </w:pPr>
    </w:p>
    <w:p w:rsidR="005271C2" w:rsidRPr="00EF2EDD" w:rsidRDefault="005271C2" w:rsidP="005271C2">
      <w:pPr>
        <w:pStyle w:val="SCL-ContentText"/>
        <w:rPr>
          <w:sz w:val="20"/>
          <w:szCs w:val="20"/>
        </w:rPr>
      </w:pPr>
      <w:r w:rsidRPr="00EF2EDD">
        <w:rPr>
          <w:b/>
          <w:sz w:val="20"/>
          <w:szCs w:val="20"/>
        </w:rPr>
        <w:t xml:space="preserve">Communication/Requirements after Update:  </w:t>
      </w:r>
      <w:r w:rsidRPr="00EF2EDD">
        <w:rPr>
          <w:sz w:val="20"/>
          <w:szCs w:val="20"/>
        </w:rPr>
        <w:t>This policy will be published through Stanwell’s Controlled Documents.</w:t>
      </w:r>
    </w:p>
    <w:p w:rsidR="005271C2" w:rsidRPr="00EF2EDD" w:rsidRDefault="005271C2" w:rsidP="005271C2">
      <w:pPr>
        <w:pStyle w:val="SCL-ContentText"/>
        <w:rPr>
          <w:sz w:val="20"/>
          <w:szCs w:val="20"/>
        </w:rPr>
      </w:pPr>
    </w:p>
    <w:p w:rsidR="005271C2" w:rsidRPr="00EF2EDD" w:rsidRDefault="005271C2" w:rsidP="005271C2">
      <w:pPr>
        <w:pStyle w:val="SCL-ContentText"/>
        <w:spacing w:after="120"/>
        <w:rPr>
          <w:sz w:val="20"/>
          <w:szCs w:val="20"/>
        </w:rPr>
      </w:pPr>
      <w:r w:rsidRPr="00EF2EDD">
        <w:rPr>
          <w:sz w:val="20"/>
          <w:szCs w:val="20"/>
        </w:rPr>
        <w:t>All employees will be advised of this policy as part of the induction process when commencing employment, when signing a Smartphone Connectivity Agreement if receiving a Stanwell issued mobile device, and when completing the relevant eLearning training every two years.</w:t>
      </w:r>
    </w:p>
    <w:p w:rsidR="002B2DBF" w:rsidRDefault="002B2DBF" w:rsidP="009963E0">
      <w:pPr>
        <w:autoSpaceDE w:val="0"/>
        <w:autoSpaceDN w:val="0"/>
        <w:adjustRightInd w:val="0"/>
        <w:spacing w:before="120" w:after="120"/>
        <w:ind w:left="720"/>
        <w:jc w:val="both"/>
        <w:rPr>
          <w:rFonts w:cs="Arial"/>
          <w:color w:val="000000"/>
          <w:szCs w:val="20"/>
        </w:rPr>
      </w:pPr>
    </w:p>
    <w:p w:rsidR="005271C2" w:rsidRPr="00EF2EDD" w:rsidRDefault="00235CDA" w:rsidP="005271C2">
      <w:pPr>
        <w:pStyle w:val="SCL-Heading1"/>
        <w:rPr>
          <w:sz w:val="28"/>
          <w:szCs w:val="28"/>
        </w:rPr>
      </w:pPr>
      <w:r w:rsidRPr="00EF2EDD">
        <w:rPr>
          <w:sz w:val="28"/>
          <w:szCs w:val="28"/>
        </w:rPr>
        <w:t>Definitions</w:t>
      </w:r>
    </w:p>
    <w:tbl>
      <w:tblPr>
        <w:tblW w:w="9000" w:type="dxa"/>
        <w:tblInd w:w="828" w:type="dxa"/>
        <w:tblLook w:val="01E0" w:firstRow="1" w:lastRow="1" w:firstColumn="1" w:lastColumn="1" w:noHBand="0" w:noVBand="0"/>
      </w:tblPr>
      <w:tblGrid>
        <w:gridCol w:w="9000"/>
      </w:tblGrid>
      <w:tr w:rsidR="00AB6166" w:rsidRPr="00FB6E3E" w:rsidTr="000E4FDC">
        <w:tc>
          <w:tcPr>
            <w:tcW w:w="9000" w:type="dxa"/>
            <w:shd w:val="clear" w:color="auto" w:fill="auto"/>
          </w:tcPr>
          <w:p w:rsidR="00AB6166" w:rsidRPr="00EF2EDD" w:rsidRDefault="00AB6166" w:rsidP="000E4FDC">
            <w:pPr>
              <w:spacing w:before="40" w:after="40"/>
              <w:jc w:val="both"/>
              <w:rPr>
                <w:rFonts w:cs="Arial"/>
                <w:sz w:val="20"/>
                <w:szCs w:val="20"/>
              </w:rPr>
            </w:pPr>
            <w:r w:rsidRPr="00EF2EDD">
              <w:rPr>
                <w:rFonts w:cs="Arial"/>
                <w:sz w:val="20"/>
                <w:szCs w:val="20"/>
              </w:rPr>
              <w:t>Not applicable</w:t>
            </w:r>
          </w:p>
        </w:tc>
      </w:tr>
    </w:tbl>
    <w:p w:rsidR="005271C2" w:rsidRDefault="005271C2" w:rsidP="005271C2">
      <w:pPr>
        <w:pStyle w:val="SCL-Heading1"/>
        <w:numPr>
          <w:ilvl w:val="0"/>
          <w:numId w:val="0"/>
        </w:numPr>
      </w:pPr>
    </w:p>
    <w:p w:rsidR="00235CDA" w:rsidRPr="00EF2EDD" w:rsidRDefault="008B2E5B" w:rsidP="009963E0">
      <w:pPr>
        <w:pStyle w:val="SCL-Heading1"/>
        <w:rPr>
          <w:sz w:val="28"/>
          <w:szCs w:val="28"/>
        </w:rPr>
      </w:pPr>
      <w:r w:rsidRPr="00EF2EDD">
        <w:rPr>
          <w:sz w:val="28"/>
          <w:szCs w:val="28"/>
        </w:rPr>
        <w:t>R</w:t>
      </w:r>
      <w:r w:rsidR="00235CDA" w:rsidRPr="00EF2EDD">
        <w:rPr>
          <w:sz w:val="28"/>
          <w:szCs w:val="28"/>
        </w:rPr>
        <w:t>eferences</w:t>
      </w:r>
      <w:r w:rsidR="00EE3DDF" w:rsidRPr="00EF2EDD">
        <w:rPr>
          <w:sz w:val="28"/>
          <w:szCs w:val="28"/>
        </w:rPr>
        <w:t xml:space="preserve"> </w:t>
      </w:r>
    </w:p>
    <w:tbl>
      <w:tblPr>
        <w:tblW w:w="9000" w:type="dxa"/>
        <w:tblInd w:w="828" w:type="dxa"/>
        <w:tblLook w:val="01E0" w:firstRow="1" w:lastRow="1" w:firstColumn="1" w:lastColumn="1" w:noHBand="0" w:noVBand="0"/>
      </w:tblPr>
      <w:tblGrid>
        <w:gridCol w:w="9000"/>
      </w:tblGrid>
      <w:tr w:rsidR="005271C2" w:rsidTr="005271C2">
        <w:tc>
          <w:tcPr>
            <w:tcW w:w="9000" w:type="dxa"/>
            <w:shd w:val="clear" w:color="auto" w:fill="auto"/>
          </w:tcPr>
          <w:p w:rsidR="005271C2" w:rsidRPr="00EF2EDD" w:rsidRDefault="005271C2" w:rsidP="005271C2">
            <w:pPr>
              <w:spacing w:before="40" w:after="40"/>
              <w:jc w:val="both"/>
              <w:rPr>
                <w:rFonts w:cs="Arial"/>
                <w:noProof/>
                <w:sz w:val="20"/>
                <w:szCs w:val="20"/>
              </w:rPr>
            </w:pPr>
            <w:r w:rsidRPr="00EF2EDD">
              <w:rPr>
                <w:rFonts w:cs="Arial"/>
                <w:noProof/>
                <w:sz w:val="20"/>
                <w:szCs w:val="20"/>
              </w:rPr>
              <w:t>GOV-POL-30   Code of Conduct</w:t>
            </w:r>
          </w:p>
        </w:tc>
      </w:tr>
      <w:tr w:rsidR="005271C2" w:rsidTr="005271C2">
        <w:tc>
          <w:tcPr>
            <w:tcW w:w="9000" w:type="dxa"/>
            <w:shd w:val="clear" w:color="auto" w:fill="auto"/>
          </w:tcPr>
          <w:p w:rsidR="005271C2" w:rsidRPr="00EF2EDD" w:rsidRDefault="005271C2" w:rsidP="005271C2">
            <w:pPr>
              <w:spacing w:before="40" w:after="40"/>
              <w:jc w:val="both"/>
              <w:rPr>
                <w:rFonts w:cs="Arial"/>
                <w:noProof/>
                <w:sz w:val="20"/>
                <w:szCs w:val="20"/>
              </w:rPr>
            </w:pPr>
            <w:r w:rsidRPr="00EF2EDD">
              <w:rPr>
                <w:rFonts w:cs="Arial"/>
                <w:noProof/>
                <w:sz w:val="20"/>
                <w:szCs w:val="20"/>
              </w:rPr>
              <w:t>PEO-POL-21   Fair Treatment</w:t>
            </w:r>
          </w:p>
        </w:tc>
      </w:tr>
      <w:tr w:rsidR="005271C2" w:rsidTr="005271C2">
        <w:tc>
          <w:tcPr>
            <w:tcW w:w="9000" w:type="dxa"/>
            <w:shd w:val="clear" w:color="auto" w:fill="auto"/>
          </w:tcPr>
          <w:p w:rsidR="005271C2" w:rsidRPr="00EF2EDD" w:rsidRDefault="005271C2" w:rsidP="005271C2">
            <w:pPr>
              <w:spacing w:before="40" w:after="40"/>
              <w:jc w:val="both"/>
              <w:rPr>
                <w:rFonts w:cs="Arial"/>
                <w:noProof/>
                <w:sz w:val="20"/>
                <w:szCs w:val="20"/>
              </w:rPr>
            </w:pPr>
            <w:r w:rsidRPr="00EF2EDD">
              <w:rPr>
                <w:rFonts w:cs="Arial"/>
                <w:noProof/>
                <w:sz w:val="20"/>
                <w:szCs w:val="20"/>
              </w:rPr>
              <w:t>GOV-POL-27   Confidential Information</w:t>
            </w:r>
          </w:p>
        </w:tc>
      </w:tr>
      <w:tr w:rsidR="005271C2" w:rsidTr="005271C2">
        <w:tc>
          <w:tcPr>
            <w:tcW w:w="9000" w:type="dxa"/>
            <w:shd w:val="clear" w:color="auto" w:fill="auto"/>
          </w:tcPr>
          <w:p w:rsidR="005271C2" w:rsidRPr="00EF2EDD" w:rsidRDefault="005271C2" w:rsidP="005271C2">
            <w:pPr>
              <w:spacing w:before="40" w:after="40"/>
              <w:jc w:val="both"/>
              <w:rPr>
                <w:rFonts w:cs="Arial"/>
                <w:noProof/>
                <w:sz w:val="20"/>
                <w:szCs w:val="20"/>
              </w:rPr>
            </w:pPr>
            <w:r w:rsidRPr="00EF2EDD">
              <w:rPr>
                <w:rFonts w:cs="Arial"/>
                <w:noProof/>
                <w:sz w:val="20"/>
                <w:szCs w:val="20"/>
              </w:rPr>
              <w:t>STM-PROC-19 Social Media</w:t>
            </w:r>
          </w:p>
        </w:tc>
      </w:tr>
      <w:tr w:rsidR="00625C88" w:rsidTr="005271C2">
        <w:tc>
          <w:tcPr>
            <w:tcW w:w="9000" w:type="dxa"/>
            <w:shd w:val="clear" w:color="auto" w:fill="auto"/>
          </w:tcPr>
          <w:p w:rsidR="00625C88" w:rsidRPr="00964184" w:rsidRDefault="00964184" w:rsidP="00964184">
            <w:pPr>
              <w:rPr>
                <w:rFonts w:cs="Arial"/>
                <w:noProof/>
                <w:sz w:val="20"/>
                <w:szCs w:val="20"/>
              </w:rPr>
            </w:pPr>
            <w:r w:rsidRPr="00964184">
              <w:rPr>
                <w:rFonts w:cs="Arial"/>
                <w:sz w:val="20"/>
                <w:szCs w:val="20"/>
              </w:rPr>
              <w:t xml:space="preserve">FNC-PROC-IS-18  </w:t>
            </w:r>
            <w:r w:rsidR="00625C88" w:rsidRPr="00964184">
              <w:rPr>
                <w:rFonts w:cs="Arial"/>
                <w:noProof/>
                <w:sz w:val="20"/>
                <w:szCs w:val="20"/>
              </w:rPr>
              <w:t>Mobile Device</w:t>
            </w:r>
            <w:r w:rsidRPr="00964184">
              <w:rPr>
                <w:rFonts w:cs="Arial"/>
                <w:noProof/>
                <w:sz w:val="20"/>
                <w:szCs w:val="20"/>
              </w:rPr>
              <w:t xml:space="preserve"> Allocation</w:t>
            </w:r>
          </w:p>
        </w:tc>
      </w:tr>
      <w:tr w:rsidR="00AD4AC8" w:rsidTr="005271C2">
        <w:tc>
          <w:tcPr>
            <w:tcW w:w="9000" w:type="dxa"/>
            <w:shd w:val="clear" w:color="auto" w:fill="auto"/>
          </w:tcPr>
          <w:p w:rsidR="00AD4AC8" w:rsidRPr="00964184" w:rsidRDefault="00AD4AC8" w:rsidP="00AD4AC8">
            <w:pPr>
              <w:spacing w:before="40" w:after="40"/>
              <w:jc w:val="both"/>
              <w:rPr>
                <w:rFonts w:cs="Arial"/>
                <w:noProof/>
                <w:sz w:val="20"/>
                <w:szCs w:val="20"/>
              </w:rPr>
            </w:pPr>
            <w:r w:rsidRPr="00964184">
              <w:rPr>
                <w:rFonts w:cs="Arial"/>
                <w:noProof/>
                <w:sz w:val="20"/>
                <w:szCs w:val="20"/>
              </w:rPr>
              <w:t>T-2107 Mobile Device Connectivity Agreement</w:t>
            </w:r>
          </w:p>
        </w:tc>
      </w:tr>
      <w:tr w:rsidR="005271C2" w:rsidTr="005271C2">
        <w:tc>
          <w:tcPr>
            <w:tcW w:w="9000" w:type="dxa"/>
            <w:shd w:val="clear" w:color="auto" w:fill="auto"/>
          </w:tcPr>
          <w:p w:rsidR="005271C2" w:rsidRPr="00EF2EDD" w:rsidRDefault="005271C2" w:rsidP="005271C2">
            <w:pPr>
              <w:spacing w:before="40" w:after="40"/>
              <w:jc w:val="both"/>
              <w:rPr>
                <w:rFonts w:cs="Arial"/>
                <w:noProof/>
                <w:sz w:val="20"/>
                <w:szCs w:val="20"/>
              </w:rPr>
            </w:pPr>
            <w:r w:rsidRPr="00EF2EDD">
              <w:rPr>
                <w:rFonts w:cs="Arial"/>
                <w:noProof/>
                <w:sz w:val="20"/>
                <w:szCs w:val="20"/>
              </w:rPr>
              <w:t>GOV-PROC-39 - Managing Performance and Conduct Procedure</w:t>
            </w:r>
          </w:p>
        </w:tc>
      </w:tr>
      <w:tr w:rsidR="005271C2" w:rsidTr="005271C2">
        <w:tc>
          <w:tcPr>
            <w:tcW w:w="9000" w:type="dxa"/>
            <w:shd w:val="clear" w:color="auto" w:fill="auto"/>
          </w:tcPr>
          <w:p w:rsidR="005271C2" w:rsidRPr="00EF2EDD" w:rsidRDefault="005271C2" w:rsidP="005271C2">
            <w:pPr>
              <w:spacing w:before="40" w:after="40"/>
              <w:jc w:val="both"/>
              <w:rPr>
                <w:rFonts w:cs="Arial"/>
                <w:noProof/>
                <w:sz w:val="20"/>
                <w:szCs w:val="20"/>
              </w:rPr>
            </w:pPr>
            <w:r w:rsidRPr="00EF2EDD">
              <w:rPr>
                <w:rFonts w:cs="Arial"/>
                <w:noProof/>
                <w:sz w:val="20"/>
                <w:szCs w:val="20"/>
              </w:rPr>
              <w:t>GOV-PROC-36 - Protected Disclosures and Complaints Procedure</w:t>
            </w:r>
          </w:p>
          <w:p w:rsidR="005271C2" w:rsidRPr="00EF2EDD" w:rsidRDefault="005271C2" w:rsidP="005271C2">
            <w:pPr>
              <w:spacing w:before="40" w:after="40"/>
              <w:jc w:val="both"/>
              <w:rPr>
                <w:rFonts w:cs="Arial"/>
                <w:noProof/>
                <w:sz w:val="20"/>
                <w:szCs w:val="20"/>
              </w:rPr>
            </w:pPr>
            <w:r w:rsidRPr="00EF2EDD">
              <w:rPr>
                <w:rFonts w:cs="Arial"/>
                <w:noProof/>
                <w:sz w:val="20"/>
                <w:szCs w:val="20"/>
              </w:rPr>
              <w:t>Safe Work Australia – Guide for Preventing and Responding to Workplace Bullying</w:t>
            </w:r>
          </w:p>
          <w:p w:rsidR="005271C2" w:rsidRPr="00EF2EDD" w:rsidRDefault="005271C2" w:rsidP="005271C2">
            <w:pPr>
              <w:spacing w:before="40" w:after="40"/>
              <w:jc w:val="both"/>
              <w:rPr>
                <w:rFonts w:cs="Arial"/>
                <w:noProof/>
                <w:sz w:val="20"/>
                <w:szCs w:val="20"/>
              </w:rPr>
            </w:pPr>
            <w:r w:rsidRPr="00EF2EDD">
              <w:rPr>
                <w:rFonts w:cs="Arial"/>
                <w:noProof/>
                <w:sz w:val="20"/>
                <w:szCs w:val="20"/>
              </w:rPr>
              <w:t>Australian Human Rights Commission Fact Sheet “Good Practice, Good Business – Workplace Discrimination, harassment and bullying”</w:t>
            </w:r>
          </w:p>
        </w:tc>
      </w:tr>
      <w:tr w:rsidR="005271C2" w:rsidTr="005271C2">
        <w:tc>
          <w:tcPr>
            <w:tcW w:w="9000" w:type="dxa"/>
            <w:shd w:val="clear" w:color="auto" w:fill="auto"/>
          </w:tcPr>
          <w:p w:rsidR="005271C2" w:rsidRPr="00EF2EDD" w:rsidRDefault="005271C2" w:rsidP="005271C2">
            <w:pPr>
              <w:spacing w:before="40" w:after="40"/>
              <w:jc w:val="both"/>
              <w:rPr>
                <w:rFonts w:cs="Arial"/>
                <w:noProof/>
                <w:sz w:val="20"/>
                <w:szCs w:val="20"/>
              </w:rPr>
            </w:pPr>
            <w:r w:rsidRPr="00EF2EDD">
              <w:rPr>
                <w:rFonts w:cs="Arial"/>
                <w:noProof/>
                <w:sz w:val="20"/>
                <w:szCs w:val="20"/>
              </w:rPr>
              <w:t>The relevant State and Federal legislation includes:</w:t>
            </w:r>
          </w:p>
          <w:p w:rsidR="005271C2" w:rsidRPr="00EF2EDD" w:rsidRDefault="005271C2" w:rsidP="005271C2">
            <w:pPr>
              <w:numPr>
                <w:ilvl w:val="0"/>
                <w:numId w:val="34"/>
              </w:numPr>
              <w:spacing w:before="120" w:after="120"/>
              <w:jc w:val="both"/>
              <w:rPr>
                <w:rFonts w:cs="Arial"/>
                <w:noProof/>
                <w:sz w:val="20"/>
                <w:szCs w:val="20"/>
              </w:rPr>
            </w:pPr>
            <w:r w:rsidRPr="00EF2EDD">
              <w:rPr>
                <w:rFonts w:cs="Arial"/>
                <w:noProof/>
                <w:sz w:val="20"/>
                <w:szCs w:val="20"/>
              </w:rPr>
              <w:t xml:space="preserve">Age Discrimination Act 2004 (Cth) </w:t>
            </w:r>
          </w:p>
          <w:p w:rsidR="005271C2" w:rsidRPr="00EF2EDD" w:rsidRDefault="005271C2" w:rsidP="005271C2">
            <w:pPr>
              <w:numPr>
                <w:ilvl w:val="0"/>
                <w:numId w:val="34"/>
              </w:numPr>
              <w:spacing w:before="120" w:after="120"/>
              <w:jc w:val="both"/>
              <w:rPr>
                <w:rFonts w:cs="Arial"/>
                <w:noProof/>
                <w:sz w:val="20"/>
                <w:szCs w:val="20"/>
              </w:rPr>
            </w:pPr>
            <w:r w:rsidRPr="00EF2EDD">
              <w:rPr>
                <w:rFonts w:cs="Arial"/>
                <w:noProof/>
                <w:sz w:val="20"/>
                <w:szCs w:val="20"/>
              </w:rPr>
              <w:t>Anti-discrimination Act 1991 (Qld)</w:t>
            </w:r>
          </w:p>
          <w:p w:rsidR="005271C2" w:rsidRPr="00EF2EDD" w:rsidRDefault="005271C2" w:rsidP="005271C2">
            <w:pPr>
              <w:numPr>
                <w:ilvl w:val="0"/>
                <w:numId w:val="34"/>
              </w:numPr>
              <w:spacing w:before="120" w:after="120"/>
              <w:jc w:val="both"/>
              <w:rPr>
                <w:rFonts w:cs="Arial"/>
                <w:noProof/>
                <w:sz w:val="20"/>
                <w:szCs w:val="20"/>
              </w:rPr>
            </w:pPr>
            <w:r w:rsidRPr="00EF2EDD">
              <w:rPr>
                <w:rFonts w:cs="Arial"/>
                <w:noProof/>
                <w:sz w:val="20"/>
                <w:szCs w:val="20"/>
              </w:rPr>
              <w:t xml:space="preserve">Disability Discrimination Act 1992 (Cth)  </w:t>
            </w:r>
          </w:p>
          <w:p w:rsidR="005271C2" w:rsidRPr="00EF2EDD" w:rsidRDefault="005271C2" w:rsidP="005271C2">
            <w:pPr>
              <w:numPr>
                <w:ilvl w:val="0"/>
                <w:numId w:val="34"/>
              </w:numPr>
              <w:spacing w:before="120" w:after="120"/>
              <w:jc w:val="both"/>
              <w:rPr>
                <w:rFonts w:cs="Arial"/>
                <w:noProof/>
                <w:sz w:val="20"/>
                <w:szCs w:val="20"/>
              </w:rPr>
            </w:pPr>
            <w:r w:rsidRPr="00EF2EDD">
              <w:rPr>
                <w:rFonts w:cs="Arial"/>
                <w:noProof/>
                <w:sz w:val="20"/>
                <w:szCs w:val="20"/>
              </w:rPr>
              <w:t>Human Rights Legislation Amendment Act 1995 (Cth)Australian Human Rights Commission Act 1986 (Cth)</w:t>
            </w:r>
          </w:p>
          <w:p w:rsidR="005271C2" w:rsidRPr="00EF2EDD" w:rsidRDefault="00E9467F" w:rsidP="005271C2">
            <w:pPr>
              <w:numPr>
                <w:ilvl w:val="0"/>
                <w:numId w:val="34"/>
              </w:numPr>
              <w:spacing w:before="120" w:after="120"/>
              <w:jc w:val="both"/>
              <w:rPr>
                <w:rFonts w:cs="Arial"/>
                <w:noProof/>
                <w:sz w:val="20"/>
                <w:szCs w:val="20"/>
              </w:rPr>
            </w:pPr>
            <w:hyperlink r:id="rId9" w:history="1">
              <w:r w:rsidR="005271C2" w:rsidRPr="00EF2EDD">
                <w:rPr>
                  <w:rStyle w:val="Hyperlink"/>
                  <w:rFonts w:cs="Arial"/>
                  <w:noProof/>
                  <w:sz w:val="20"/>
                  <w:szCs w:val="20"/>
                </w:rPr>
                <w:t>Integrity Act 2009 (Qld)</w:t>
              </w:r>
            </w:hyperlink>
          </w:p>
          <w:p w:rsidR="005271C2" w:rsidRPr="00EF2EDD" w:rsidRDefault="005271C2" w:rsidP="005271C2">
            <w:pPr>
              <w:numPr>
                <w:ilvl w:val="0"/>
                <w:numId w:val="34"/>
              </w:numPr>
              <w:spacing w:before="120" w:after="120"/>
              <w:jc w:val="both"/>
              <w:rPr>
                <w:rFonts w:cs="Arial"/>
                <w:noProof/>
                <w:sz w:val="20"/>
                <w:szCs w:val="20"/>
              </w:rPr>
            </w:pPr>
            <w:r w:rsidRPr="00EF2EDD">
              <w:rPr>
                <w:rFonts w:cs="Arial"/>
                <w:noProof/>
                <w:sz w:val="20"/>
                <w:szCs w:val="20"/>
              </w:rPr>
              <w:t xml:space="preserve">Racial Discrimination Act 1975 (Cth) </w:t>
            </w:r>
          </w:p>
          <w:p w:rsidR="005271C2" w:rsidRPr="00EF2EDD" w:rsidRDefault="005271C2" w:rsidP="005271C2">
            <w:pPr>
              <w:numPr>
                <w:ilvl w:val="0"/>
                <w:numId w:val="34"/>
              </w:numPr>
              <w:spacing w:before="120" w:after="120"/>
              <w:jc w:val="both"/>
              <w:rPr>
                <w:rFonts w:cs="Arial"/>
                <w:noProof/>
                <w:sz w:val="20"/>
                <w:szCs w:val="20"/>
              </w:rPr>
            </w:pPr>
            <w:r w:rsidRPr="00EF2EDD">
              <w:rPr>
                <w:rFonts w:cs="Arial"/>
                <w:noProof/>
                <w:sz w:val="20"/>
                <w:szCs w:val="20"/>
              </w:rPr>
              <w:t xml:space="preserve">Sex Discrimination Act 1984 (Cth) </w:t>
            </w:r>
          </w:p>
          <w:p w:rsidR="005271C2" w:rsidRPr="00EF2EDD" w:rsidRDefault="005271C2" w:rsidP="005271C2">
            <w:pPr>
              <w:numPr>
                <w:ilvl w:val="0"/>
                <w:numId w:val="34"/>
              </w:numPr>
              <w:spacing w:before="120" w:after="120"/>
              <w:jc w:val="both"/>
              <w:rPr>
                <w:rFonts w:cs="Arial"/>
                <w:noProof/>
                <w:sz w:val="20"/>
                <w:szCs w:val="20"/>
              </w:rPr>
            </w:pPr>
            <w:r w:rsidRPr="00EF2EDD">
              <w:rPr>
                <w:rFonts w:cs="Arial"/>
                <w:noProof/>
                <w:sz w:val="20"/>
                <w:szCs w:val="20"/>
              </w:rPr>
              <w:t>Work Health and Safety Act 2011 (Qld)</w:t>
            </w:r>
          </w:p>
          <w:p w:rsidR="005271C2" w:rsidRPr="00EF2EDD" w:rsidRDefault="005271C2" w:rsidP="005271C2">
            <w:pPr>
              <w:numPr>
                <w:ilvl w:val="0"/>
                <w:numId w:val="34"/>
              </w:numPr>
              <w:spacing w:before="120" w:after="120"/>
              <w:jc w:val="both"/>
              <w:rPr>
                <w:rFonts w:cs="Arial"/>
                <w:noProof/>
                <w:sz w:val="20"/>
                <w:szCs w:val="20"/>
              </w:rPr>
            </w:pPr>
            <w:r w:rsidRPr="00EF2EDD">
              <w:rPr>
                <w:rFonts w:cs="Arial"/>
                <w:noProof/>
                <w:sz w:val="20"/>
                <w:szCs w:val="20"/>
              </w:rPr>
              <w:t>Work Health and Safety Regulations 2011 (Qld)</w:t>
            </w:r>
          </w:p>
          <w:p w:rsidR="00EF2EDD" w:rsidRPr="00EF2EDD" w:rsidRDefault="00EF2EDD" w:rsidP="00EF2EDD">
            <w:pPr>
              <w:spacing w:before="120" w:after="120"/>
              <w:ind w:left="360"/>
              <w:jc w:val="both"/>
              <w:rPr>
                <w:rFonts w:cs="Arial"/>
                <w:noProof/>
                <w:sz w:val="20"/>
                <w:szCs w:val="20"/>
              </w:rPr>
            </w:pPr>
          </w:p>
        </w:tc>
      </w:tr>
    </w:tbl>
    <w:p w:rsidR="00235CDA" w:rsidRPr="00EF2EDD" w:rsidRDefault="00235CDA" w:rsidP="009963E0">
      <w:pPr>
        <w:pStyle w:val="SCL-Heading1"/>
        <w:ind w:left="709" w:hanging="709"/>
        <w:rPr>
          <w:sz w:val="28"/>
          <w:szCs w:val="28"/>
        </w:rPr>
      </w:pPr>
      <w:r w:rsidRPr="00EF2EDD">
        <w:rPr>
          <w:sz w:val="28"/>
          <w:szCs w:val="28"/>
        </w:rPr>
        <w:t>Revision History</w:t>
      </w:r>
    </w:p>
    <w:tbl>
      <w:tblPr>
        <w:tblW w:w="1025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440"/>
        <w:gridCol w:w="3060"/>
        <w:gridCol w:w="1611"/>
        <w:gridCol w:w="1611"/>
        <w:gridCol w:w="1449"/>
      </w:tblGrid>
      <w:tr w:rsidR="00224022" w:rsidRPr="00235CDA" w:rsidTr="008D49A6">
        <w:tc>
          <w:tcPr>
            <w:tcW w:w="1080" w:type="dxa"/>
          </w:tcPr>
          <w:p w:rsidR="00224022" w:rsidRPr="00235CDA" w:rsidRDefault="00224022" w:rsidP="008C1F44">
            <w:pPr>
              <w:spacing w:before="40" w:after="40"/>
              <w:jc w:val="both"/>
              <w:rPr>
                <w:b/>
                <w:sz w:val="18"/>
                <w:szCs w:val="20"/>
              </w:rPr>
            </w:pPr>
            <w:r w:rsidRPr="00235CDA">
              <w:rPr>
                <w:b/>
                <w:sz w:val="18"/>
                <w:szCs w:val="20"/>
              </w:rPr>
              <w:t>Rev. No.</w:t>
            </w:r>
          </w:p>
        </w:tc>
        <w:tc>
          <w:tcPr>
            <w:tcW w:w="1440" w:type="dxa"/>
          </w:tcPr>
          <w:p w:rsidR="00224022" w:rsidRPr="00235CDA" w:rsidRDefault="00224022" w:rsidP="008C1F44">
            <w:pPr>
              <w:spacing w:before="40" w:after="40"/>
              <w:jc w:val="both"/>
              <w:rPr>
                <w:b/>
                <w:sz w:val="18"/>
                <w:szCs w:val="20"/>
              </w:rPr>
            </w:pPr>
            <w:r w:rsidRPr="00235CDA">
              <w:rPr>
                <w:b/>
                <w:sz w:val="18"/>
                <w:szCs w:val="20"/>
              </w:rPr>
              <w:t>Rev. Date</w:t>
            </w:r>
          </w:p>
        </w:tc>
        <w:tc>
          <w:tcPr>
            <w:tcW w:w="3060" w:type="dxa"/>
          </w:tcPr>
          <w:p w:rsidR="00224022" w:rsidRPr="00235CDA" w:rsidRDefault="00224022" w:rsidP="008C1F44">
            <w:pPr>
              <w:spacing w:before="40" w:after="40"/>
              <w:jc w:val="both"/>
              <w:rPr>
                <w:b/>
                <w:sz w:val="18"/>
                <w:szCs w:val="20"/>
              </w:rPr>
            </w:pPr>
            <w:r w:rsidRPr="00235CDA">
              <w:rPr>
                <w:b/>
                <w:sz w:val="18"/>
                <w:szCs w:val="20"/>
              </w:rPr>
              <w:t>Revision Description</w:t>
            </w:r>
          </w:p>
        </w:tc>
        <w:tc>
          <w:tcPr>
            <w:tcW w:w="1611" w:type="dxa"/>
          </w:tcPr>
          <w:p w:rsidR="00224022" w:rsidRPr="00235CDA" w:rsidRDefault="00224022" w:rsidP="008C1F44">
            <w:pPr>
              <w:spacing w:before="40" w:after="40"/>
              <w:jc w:val="both"/>
              <w:rPr>
                <w:b/>
                <w:sz w:val="18"/>
                <w:szCs w:val="20"/>
              </w:rPr>
            </w:pPr>
            <w:r w:rsidRPr="00235CDA">
              <w:rPr>
                <w:b/>
                <w:sz w:val="18"/>
                <w:szCs w:val="20"/>
              </w:rPr>
              <w:t>Autho</w:t>
            </w:r>
            <w:r>
              <w:rPr>
                <w:b/>
                <w:sz w:val="18"/>
                <w:szCs w:val="20"/>
              </w:rPr>
              <w:t>r</w:t>
            </w:r>
          </w:p>
        </w:tc>
        <w:tc>
          <w:tcPr>
            <w:tcW w:w="1611" w:type="dxa"/>
          </w:tcPr>
          <w:p w:rsidR="00224022" w:rsidRPr="00235CDA" w:rsidRDefault="00224022" w:rsidP="008C1F44">
            <w:pPr>
              <w:spacing w:before="40" w:after="40"/>
              <w:jc w:val="both"/>
              <w:rPr>
                <w:b/>
                <w:sz w:val="18"/>
                <w:szCs w:val="20"/>
              </w:rPr>
            </w:pPr>
            <w:r>
              <w:rPr>
                <w:b/>
                <w:sz w:val="18"/>
                <w:szCs w:val="20"/>
              </w:rPr>
              <w:t>Endorse/Check</w:t>
            </w:r>
          </w:p>
        </w:tc>
        <w:tc>
          <w:tcPr>
            <w:tcW w:w="1449" w:type="dxa"/>
          </w:tcPr>
          <w:p w:rsidR="00224022" w:rsidRPr="00235CDA" w:rsidRDefault="00224022" w:rsidP="008C1F44">
            <w:pPr>
              <w:spacing w:before="40" w:after="40"/>
              <w:jc w:val="both"/>
              <w:rPr>
                <w:b/>
                <w:sz w:val="18"/>
                <w:szCs w:val="20"/>
              </w:rPr>
            </w:pPr>
            <w:r>
              <w:rPr>
                <w:b/>
                <w:sz w:val="18"/>
                <w:szCs w:val="20"/>
              </w:rPr>
              <w:t>Approved</w:t>
            </w:r>
            <w:r w:rsidRPr="00235CDA">
              <w:rPr>
                <w:b/>
                <w:sz w:val="18"/>
                <w:szCs w:val="20"/>
              </w:rPr>
              <w:t xml:space="preserve"> By </w:t>
            </w:r>
          </w:p>
        </w:tc>
      </w:tr>
      <w:tr w:rsidR="00224022" w:rsidRPr="00235CDA" w:rsidTr="008D49A6">
        <w:tc>
          <w:tcPr>
            <w:tcW w:w="1080" w:type="dxa"/>
          </w:tcPr>
          <w:p w:rsidR="00224022" w:rsidRPr="00235CDA" w:rsidRDefault="00224022" w:rsidP="008C1F44">
            <w:pPr>
              <w:spacing w:before="40" w:after="40"/>
              <w:jc w:val="center"/>
              <w:rPr>
                <w:rFonts w:cs="Arial"/>
                <w:sz w:val="16"/>
                <w:szCs w:val="20"/>
              </w:rPr>
            </w:pPr>
          </w:p>
        </w:tc>
        <w:tc>
          <w:tcPr>
            <w:tcW w:w="1440" w:type="dxa"/>
          </w:tcPr>
          <w:p w:rsidR="00224022" w:rsidRPr="00235CDA" w:rsidRDefault="00224022" w:rsidP="008C1F44">
            <w:pPr>
              <w:spacing w:before="40" w:after="40"/>
              <w:jc w:val="center"/>
              <w:rPr>
                <w:rFonts w:cs="Arial"/>
                <w:sz w:val="16"/>
                <w:szCs w:val="20"/>
              </w:rPr>
            </w:pPr>
            <w:r>
              <w:rPr>
                <w:rFonts w:cs="Arial"/>
                <w:sz w:val="16"/>
                <w:szCs w:val="20"/>
              </w:rPr>
              <w:t>1.07.2011</w:t>
            </w:r>
          </w:p>
        </w:tc>
        <w:tc>
          <w:tcPr>
            <w:tcW w:w="3060" w:type="dxa"/>
          </w:tcPr>
          <w:p w:rsidR="00224022" w:rsidRPr="00235CDA" w:rsidRDefault="00224022" w:rsidP="008C1F44">
            <w:pPr>
              <w:spacing w:before="40" w:after="40"/>
              <w:jc w:val="both"/>
              <w:rPr>
                <w:rFonts w:cs="Arial"/>
                <w:sz w:val="16"/>
                <w:szCs w:val="20"/>
              </w:rPr>
            </w:pPr>
            <w:r>
              <w:rPr>
                <w:rFonts w:cs="Arial"/>
                <w:sz w:val="16"/>
                <w:szCs w:val="20"/>
              </w:rPr>
              <w:t>Policy adopted on merger</w:t>
            </w:r>
          </w:p>
        </w:tc>
        <w:tc>
          <w:tcPr>
            <w:tcW w:w="1611" w:type="dxa"/>
          </w:tcPr>
          <w:p w:rsidR="00224022" w:rsidRPr="00235CDA" w:rsidRDefault="00224022" w:rsidP="008C1F44">
            <w:pPr>
              <w:spacing w:before="40" w:after="40"/>
              <w:jc w:val="both"/>
              <w:rPr>
                <w:rFonts w:cs="Arial"/>
                <w:sz w:val="16"/>
                <w:szCs w:val="20"/>
              </w:rPr>
            </w:pPr>
          </w:p>
        </w:tc>
        <w:tc>
          <w:tcPr>
            <w:tcW w:w="1611" w:type="dxa"/>
          </w:tcPr>
          <w:p w:rsidR="00224022" w:rsidRPr="00235CDA" w:rsidRDefault="00224022" w:rsidP="008C1F44">
            <w:pPr>
              <w:spacing w:before="40" w:after="40"/>
              <w:jc w:val="both"/>
              <w:rPr>
                <w:rFonts w:cs="Arial"/>
                <w:sz w:val="16"/>
                <w:szCs w:val="20"/>
              </w:rPr>
            </w:pPr>
          </w:p>
        </w:tc>
        <w:tc>
          <w:tcPr>
            <w:tcW w:w="1449" w:type="dxa"/>
          </w:tcPr>
          <w:p w:rsidR="00224022" w:rsidRPr="00235CDA" w:rsidRDefault="00224022" w:rsidP="008C1F44">
            <w:pPr>
              <w:spacing w:before="40" w:after="40"/>
              <w:jc w:val="both"/>
              <w:rPr>
                <w:rFonts w:cs="Arial"/>
                <w:sz w:val="16"/>
                <w:szCs w:val="20"/>
              </w:rPr>
            </w:pPr>
            <w:r>
              <w:rPr>
                <w:rFonts w:cs="Arial"/>
                <w:sz w:val="16"/>
                <w:szCs w:val="20"/>
              </w:rPr>
              <w:t>CEO</w:t>
            </w:r>
          </w:p>
        </w:tc>
      </w:tr>
      <w:tr w:rsidR="00224022" w:rsidRPr="00235CDA" w:rsidTr="008D49A6">
        <w:tc>
          <w:tcPr>
            <w:tcW w:w="1080" w:type="dxa"/>
          </w:tcPr>
          <w:p w:rsidR="00224022" w:rsidRPr="00235CDA" w:rsidRDefault="00224022" w:rsidP="008C1F44">
            <w:pPr>
              <w:spacing w:before="40" w:after="40"/>
              <w:jc w:val="center"/>
              <w:rPr>
                <w:rFonts w:cs="Arial"/>
                <w:sz w:val="16"/>
                <w:szCs w:val="20"/>
              </w:rPr>
            </w:pPr>
          </w:p>
        </w:tc>
        <w:tc>
          <w:tcPr>
            <w:tcW w:w="1440" w:type="dxa"/>
          </w:tcPr>
          <w:p w:rsidR="00224022" w:rsidRPr="00235CDA" w:rsidRDefault="00224022" w:rsidP="008C1F44">
            <w:pPr>
              <w:spacing w:before="40" w:after="40"/>
              <w:jc w:val="center"/>
              <w:rPr>
                <w:rFonts w:cs="Arial"/>
                <w:sz w:val="16"/>
                <w:szCs w:val="20"/>
              </w:rPr>
            </w:pPr>
            <w:r>
              <w:rPr>
                <w:rFonts w:cs="Arial"/>
                <w:sz w:val="16"/>
                <w:szCs w:val="20"/>
              </w:rPr>
              <w:t>25.05.2012</w:t>
            </w:r>
          </w:p>
        </w:tc>
        <w:tc>
          <w:tcPr>
            <w:tcW w:w="3060" w:type="dxa"/>
          </w:tcPr>
          <w:p w:rsidR="00224022" w:rsidRPr="00235CDA" w:rsidRDefault="00224022" w:rsidP="008C1F44">
            <w:pPr>
              <w:spacing w:before="40" w:after="40"/>
              <w:jc w:val="both"/>
              <w:rPr>
                <w:rFonts w:cs="Arial"/>
                <w:sz w:val="16"/>
                <w:szCs w:val="20"/>
              </w:rPr>
            </w:pPr>
            <w:r>
              <w:rPr>
                <w:rFonts w:cs="Arial"/>
                <w:sz w:val="16"/>
                <w:szCs w:val="20"/>
              </w:rPr>
              <w:t>Policy updated to cover Mobile Phones</w:t>
            </w:r>
          </w:p>
        </w:tc>
        <w:tc>
          <w:tcPr>
            <w:tcW w:w="1611" w:type="dxa"/>
          </w:tcPr>
          <w:p w:rsidR="00224022" w:rsidRPr="00235CDA" w:rsidRDefault="00224022" w:rsidP="008C1F44">
            <w:pPr>
              <w:spacing w:before="40" w:after="40"/>
              <w:jc w:val="both"/>
              <w:rPr>
                <w:rFonts w:cs="Arial"/>
                <w:sz w:val="16"/>
                <w:szCs w:val="20"/>
              </w:rPr>
            </w:pPr>
          </w:p>
        </w:tc>
        <w:tc>
          <w:tcPr>
            <w:tcW w:w="1611" w:type="dxa"/>
          </w:tcPr>
          <w:p w:rsidR="00224022" w:rsidRPr="00235CDA" w:rsidRDefault="00224022" w:rsidP="008C1F44">
            <w:pPr>
              <w:spacing w:before="40" w:after="40"/>
              <w:jc w:val="both"/>
              <w:rPr>
                <w:rFonts w:cs="Arial"/>
                <w:sz w:val="16"/>
                <w:szCs w:val="20"/>
              </w:rPr>
            </w:pPr>
          </w:p>
        </w:tc>
        <w:tc>
          <w:tcPr>
            <w:tcW w:w="1449" w:type="dxa"/>
          </w:tcPr>
          <w:p w:rsidR="00224022" w:rsidRPr="00235CDA" w:rsidRDefault="00224022" w:rsidP="008C1F44">
            <w:pPr>
              <w:spacing w:before="40" w:after="40"/>
              <w:jc w:val="both"/>
              <w:rPr>
                <w:rFonts w:cs="Arial"/>
                <w:sz w:val="16"/>
                <w:szCs w:val="20"/>
              </w:rPr>
            </w:pPr>
          </w:p>
        </w:tc>
      </w:tr>
      <w:tr w:rsidR="00224022" w:rsidRPr="00235CDA" w:rsidTr="008D49A6">
        <w:tc>
          <w:tcPr>
            <w:tcW w:w="1080" w:type="dxa"/>
          </w:tcPr>
          <w:p w:rsidR="00224022" w:rsidRPr="00235CDA" w:rsidRDefault="00224022" w:rsidP="008C1F44">
            <w:pPr>
              <w:spacing w:before="40" w:after="40"/>
              <w:jc w:val="center"/>
              <w:rPr>
                <w:rFonts w:cs="Arial"/>
                <w:sz w:val="16"/>
                <w:szCs w:val="20"/>
              </w:rPr>
            </w:pPr>
            <w:r>
              <w:rPr>
                <w:rFonts w:cs="Arial"/>
                <w:sz w:val="16"/>
                <w:szCs w:val="20"/>
              </w:rPr>
              <w:t>0</w:t>
            </w:r>
          </w:p>
        </w:tc>
        <w:tc>
          <w:tcPr>
            <w:tcW w:w="1440" w:type="dxa"/>
          </w:tcPr>
          <w:p w:rsidR="00224022" w:rsidRPr="00235CDA" w:rsidRDefault="00490BAC" w:rsidP="00490BAC">
            <w:pPr>
              <w:spacing w:before="40" w:after="40"/>
              <w:jc w:val="center"/>
              <w:rPr>
                <w:rFonts w:cs="Arial"/>
                <w:sz w:val="16"/>
                <w:szCs w:val="20"/>
              </w:rPr>
            </w:pPr>
            <w:r>
              <w:rPr>
                <w:rFonts w:cs="Arial"/>
                <w:sz w:val="16"/>
                <w:szCs w:val="20"/>
              </w:rPr>
              <w:t>27</w:t>
            </w:r>
            <w:r w:rsidR="009A42EB">
              <w:rPr>
                <w:rFonts w:cs="Arial"/>
                <w:sz w:val="16"/>
                <w:szCs w:val="20"/>
              </w:rPr>
              <w:t>.</w:t>
            </w:r>
            <w:r>
              <w:rPr>
                <w:rFonts w:cs="Arial"/>
                <w:sz w:val="16"/>
                <w:szCs w:val="20"/>
              </w:rPr>
              <w:t>11</w:t>
            </w:r>
            <w:r w:rsidR="00224022">
              <w:rPr>
                <w:rFonts w:cs="Arial"/>
                <w:sz w:val="16"/>
                <w:szCs w:val="20"/>
              </w:rPr>
              <w:t>.2012</w:t>
            </w:r>
          </w:p>
        </w:tc>
        <w:tc>
          <w:tcPr>
            <w:tcW w:w="3060" w:type="dxa"/>
          </w:tcPr>
          <w:p w:rsidR="00224022" w:rsidRPr="00235CDA" w:rsidRDefault="00224022" w:rsidP="008C1F44">
            <w:pPr>
              <w:spacing w:before="40" w:after="40"/>
              <w:jc w:val="both"/>
              <w:rPr>
                <w:rFonts w:cs="Arial"/>
                <w:sz w:val="16"/>
                <w:szCs w:val="20"/>
              </w:rPr>
            </w:pPr>
            <w:r>
              <w:rPr>
                <w:rFonts w:cs="Arial"/>
                <w:sz w:val="16"/>
                <w:szCs w:val="20"/>
              </w:rPr>
              <w:t>Policy finalised</w:t>
            </w:r>
          </w:p>
        </w:tc>
        <w:tc>
          <w:tcPr>
            <w:tcW w:w="1611" w:type="dxa"/>
          </w:tcPr>
          <w:p w:rsidR="00224022" w:rsidRPr="00235CDA" w:rsidRDefault="003251A1" w:rsidP="00490BAC">
            <w:pPr>
              <w:spacing w:before="40" w:after="40"/>
              <w:jc w:val="both"/>
              <w:rPr>
                <w:rFonts w:cs="Arial"/>
                <w:sz w:val="16"/>
                <w:szCs w:val="20"/>
              </w:rPr>
            </w:pPr>
            <w:r>
              <w:rPr>
                <w:rFonts w:cs="Arial"/>
                <w:sz w:val="16"/>
                <w:szCs w:val="20"/>
              </w:rPr>
              <w:t>D Elsmore</w:t>
            </w:r>
          </w:p>
        </w:tc>
        <w:tc>
          <w:tcPr>
            <w:tcW w:w="1611" w:type="dxa"/>
          </w:tcPr>
          <w:p w:rsidR="00224022" w:rsidRPr="00235CDA" w:rsidRDefault="00490BAC" w:rsidP="008C1F44">
            <w:pPr>
              <w:spacing w:before="40" w:after="40"/>
              <w:jc w:val="both"/>
              <w:rPr>
                <w:rFonts w:cs="Arial"/>
                <w:sz w:val="16"/>
                <w:szCs w:val="20"/>
              </w:rPr>
            </w:pPr>
            <w:r>
              <w:rPr>
                <w:rFonts w:cs="Arial"/>
                <w:sz w:val="16"/>
                <w:szCs w:val="20"/>
              </w:rPr>
              <w:t>J Gregg</w:t>
            </w:r>
          </w:p>
        </w:tc>
        <w:tc>
          <w:tcPr>
            <w:tcW w:w="1449" w:type="dxa"/>
          </w:tcPr>
          <w:p w:rsidR="00224022" w:rsidRPr="00235CDA" w:rsidRDefault="00713F69" w:rsidP="008C1F44">
            <w:pPr>
              <w:spacing w:before="40" w:after="40"/>
              <w:jc w:val="both"/>
              <w:rPr>
                <w:rFonts w:cs="Arial"/>
                <w:sz w:val="16"/>
                <w:szCs w:val="20"/>
              </w:rPr>
            </w:pPr>
            <w:r>
              <w:rPr>
                <w:rFonts w:cs="Arial"/>
                <w:sz w:val="16"/>
                <w:szCs w:val="20"/>
              </w:rPr>
              <w:t>R.</w:t>
            </w:r>
            <w:r w:rsidR="0052506E">
              <w:rPr>
                <w:rFonts w:cs="Arial"/>
                <w:sz w:val="16"/>
                <w:szCs w:val="20"/>
              </w:rPr>
              <w:t xml:space="preserve"> Van </w:t>
            </w:r>
            <w:r>
              <w:rPr>
                <w:rFonts w:cs="Arial"/>
                <w:sz w:val="16"/>
                <w:szCs w:val="20"/>
              </w:rPr>
              <w:t>Breda</w:t>
            </w:r>
          </w:p>
        </w:tc>
      </w:tr>
      <w:tr w:rsidR="00224022" w:rsidRPr="00235CDA" w:rsidTr="008D49A6">
        <w:tc>
          <w:tcPr>
            <w:tcW w:w="1080" w:type="dxa"/>
          </w:tcPr>
          <w:p w:rsidR="00224022" w:rsidRPr="00235CDA" w:rsidRDefault="00623500" w:rsidP="008C1F44">
            <w:pPr>
              <w:spacing w:before="60" w:after="60"/>
              <w:jc w:val="center"/>
              <w:rPr>
                <w:rFonts w:cs="Arial"/>
                <w:sz w:val="16"/>
                <w:szCs w:val="20"/>
              </w:rPr>
            </w:pPr>
            <w:r>
              <w:rPr>
                <w:rFonts w:cs="Arial"/>
                <w:sz w:val="16"/>
                <w:szCs w:val="20"/>
              </w:rPr>
              <w:t>1</w:t>
            </w:r>
          </w:p>
        </w:tc>
        <w:tc>
          <w:tcPr>
            <w:tcW w:w="1440" w:type="dxa"/>
          </w:tcPr>
          <w:p w:rsidR="00224022" w:rsidRPr="00235CDA" w:rsidRDefault="00623500" w:rsidP="008C1F44">
            <w:pPr>
              <w:spacing w:before="60" w:after="60"/>
              <w:jc w:val="center"/>
              <w:rPr>
                <w:rFonts w:cs="Arial"/>
                <w:sz w:val="16"/>
                <w:szCs w:val="20"/>
              </w:rPr>
            </w:pPr>
            <w:r>
              <w:rPr>
                <w:rFonts w:cs="Arial"/>
                <w:sz w:val="16"/>
                <w:szCs w:val="20"/>
              </w:rPr>
              <w:t>07.05.2013</w:t>
            </w:r>
          </w:p>
        </w:tc>
        <w:tc>
          <w:tcPr>
            <w:tcW w:w="3060" w:type="dxa"/>
          </w:tcPr>
          <w:p w:rsidR="00224022" w:rsidRPr="00235CDA" w:rsidRDefault="00623500" w:rsidP="008C1F44">
            <w:pPr>
              <w:spacing w:before="60" w:after="60"/>
              <w:jc w:val="both"/>
              <w:rPr>
                <w:rFonts w:cs="Arial"/>
                <w:sz w:val="16"/>
                <w:szCs w:val="20"/>
              </w:rPr>
            </w:pPr>
            <w:r>
              <w:rPr>
                <w:rFonts w:cs="Arial"/>
                <w:sz w:val="16"/>
                <w:szCs w:val="20"/>
              </w:rPr>
              <w:t>Policy Updated</w:t>
            </w:r>
          </w:p>
        </w:tc>
        <w:tc>
          <w:tcPr>
            <w:tcW w:w="1611" w:type="dxa"/>
          </w:tcPr>
          <w:p w:rsidR="00224022" w:rsidRPr="00235CDA" w:rsidRDefault="00623500" w:rsidP="008C1F44">
            <w:pPr>
              <w:spacing w:before="60" w:after="60"/>
              <w:jc w:val="both"/>
              <w:rPr>
                <w:rFonts w:cs="Arial"/>
                <w:sz w:val="16"/>
                <w:szCs w:val="20"/>
              </w:rPr>
            </w:pPr>
            <w:r>
              <w:rPr>
                <w:rFonts w:cs="Arial"/>
                <w:sz w:val="16"/>
                <w:szCs w:val="20"/>
              </w:rPr>
              <w:t>D Elsmore</w:t>
            </w:r>
          </w:p>
        </w:tc>
        <w:tc>
          <w:tcPr>
            <w:tcW w:w="1611" w:type="dxa"/>
          </w:tcPr>
          <w:p w:rsidR="00224022" w:rsidRPr="00235CDA" w:rsidRDefault="00623500" w:rsidP="008C1F44">
            <w:pPr>
              <w:spacing w:before="60" w:after="60"/>
              <w:jc w:val="both"/>
              <w:rPr>
                <w:rFonts w:cs="Arial"/>
                <w:sz w:val="16"/>
                <w:szCs w:val="20"/>
              </w:rPr>
            </w:pPr>
            <w:r>
              <w:rPr>
                <w:rFonts w:cs="Arial"/>
                <w:sz w:val="16"/>
                <w:szCs w:val="20"/>
              </w:rPr>
              <w:t>J Gregg</w:t>
            </w:r>
          </w:p>
        </w:tc>
        <w:tc>
          <w:tcPr>
            <w:tcW w:w="1449" w:type="dxa"/>
          </w:tcPr>
          <w:p w:rsidR="00224022" w:rsidRPr="00235CDA" w:rsidRDefault="00623500" w:rsidP="008C1F44">
            <w:pPr>
              <w:spacing w:before="60" w:after="60"/>
              <w:jc w:val="both"/>
              <w:rPr>
                <w:rFonts w:cs="Arial"/>
                <w:sz w:val="16"/>
                <w:szCs w:val="20"/>
              </w:rPr>
            </w:pPr>
            <w:r>
              <w:rPr>
                <w:rFonts w:cs="Arial"/>
                <w:sz w:val="16"/>
                <w:szCs w:val="20"/>
              </w:rPr>
              <w:t>R. Van Breda</w:t>
            </w:r>
          </w:p>
        </w:tc>
      </w:tr>
      <w:tr w:rsidR="0047278D" w:rsidRPr="00235CDA" w:rsidTr="008D49A6">
        <w:tc>
          <w:tcPr>
            <w:tcW w:w="1080" w:type="dxa"/>
          </w:tcPr>
          <w:p w:rsidR="0047278D" w:rsidRDefault="0047278D" w:rsidP="008C1F44">
            <w:pPr>
              <w:spacing w:before="60" w:after="60"/>
              <w:jc w:val="center"/>
              <w:rPr>
                <w:rFonts w:cs="Arial"/>
                <w:sz w:val="16"/>
                <w:szCs w:val="20"/>
              </w:rPr>
            </w:pPr>
            <w:r>
              <w:rPr>
                <w:rFonts w:cs="Arial"/>
                <w:sz w:val="16"/>
                <w:szCs w:val="20"/>
              </w:rPr>
              <w:t>2</w:t>
            </w:r>
          </w:p>
        </w:tc>
        <w:tc>
          <w:tcPr>
            <w:tcW w:w="1440" w:type="dxa"/>
          </w:tcPr>
          <w:p w:rsidR="0047278D" w:rsidRDefault="0047278D" w:rsidP="008C1F44">
            <w:pPr>
              <w:spacing w:before="60" w:after="60"/>
              <w:jc w:val="center"/>
              <w:rPr>
                <w:rFonts w:cs="Arial"/>
                <w:sz w:val="16"/>
                <w:szCs w:val="20"/>
              </w:rPr>
            </w:pPr>
            <w:r>
              <w:rPr>
                <w:rFonts w:cs="Arial"/>
                <w:sz w:val="16"/>
                <w:szCs w:val="20"/>
              </w:rPr>
              <w:t>01.07.2104</w:t>
            </w:r>
          </w:p>
        </w:tc>
        <w:tc>
          <w:tcPr>
            <w:tcW w:w="3060" w:type="dxa"/>
          </w:tcPr>
          <w:p w:rsidR="0047278D" w:rsidRDefault="0047278D" w:rsidP="008C1F44">
            <w:pPr>
              <w:spacing w:before="60" w:after="60"/>
              <w:jc w:val="both"/>
              <w:rPr>
                <w:rFonts w:cs="Arial"/>
                <w:sz w:val="16"/>
                <w:szCs w:val="20"/>
              </w:rPr>
            </w:pPr>
            <w:r>
              <w:rPr>
                <w:rFonts w:cs="Arial"/>
                <w:sz w:val="16"/>
                <w:szCs w:val="20"/>
              </w:rPr>
              <w:t>Policy Updated</w:t>
            </w:r>
          </w:p>
        </w:tc>
        <w:tc>
          <w:tcPr>
            <w:tcW w:w="1611" w:type="dxa"/>
          </w:tcPr>
          <w:p w:rsidR="0047278D" w:rsidRDefault="0047278D" w:rsidP="008C1F44">
            <w:pPr>
              <w:spacing w:before="60" w:after="60"/>
              <w:jc w:val="both"/>
              <w:rPr>
                <w:rFonts w:cs="Arial"/>
                <w:sz w:val="16"/>
                <w:szCs w:val="20"/>
              </w:rPr>
            </w:pPr>
            <w:r>
              <w:rPr>
                <w:rFonts w:cs="Arial"/>
                <w:sz w:val="16"/>
                <w:szCs w:val="20"/>
              </w:rPr>
              <w:t>J Philp</w:t>
            </w:r>
          </w:p>
        </w:tc>
        <w:tc>
          <w:tcPr>
            <w:tcW w:w="1611" w:type="dxa"/>
          </w:tcPr>
          <w:p w:rsidR="0047278D" w:rsidRDefault="0047278D" w:rsidP="008C1F44">
            <w:pPr>
              <w:spacing w:before="60" w:after="60"/>
              <w:jc w:val="both"/>
              <w:rPr>
                <w:rFonts w:cs="Arial"/>
                <w:sz w:val="16"/>
                <w:szCs w:val="20"/>
              </w:rPr>
            </w:pPr>
            <w:r>
              <w:rPr>
                <w:rFonts w:cs="Arial"/>
                <w:sz w:val="16"/>
                <w:szCs w:val="20"/>
              </w:rPr>
              <w:t>J Gregg</w:t>
            </w:r>
          </w:p>
        </w:tc>
        <w:tc>
          <w:tcPr>
            <w:tcW w:w="1449" w:type="dxa"/>
          </w:tcPr>
          <w:p w:rsidR="0047278D" w:rsidRDefault="0047278D" w:rsidP="008C1F44">
            <w:pPr>
              <w:spacing w:before="60" w:after="60"/>
              <w:jc w:val="both"/>
              <w:rPr>
                <w:rFonts w:cs="Arial"/>
                <w:sz w:val="16"/>
                <w:szCs w:val="20"/>
              </w:rPr>
            </w:pPr>
            <w:r>
              <w:rPr>
                <w:rFonts w:cs="Arial"/>
                <w:sz w:val="16"/>
                <w:szCs w:val="20"/>
              </w:rPr>
              <w:t>R Van Breda</w:t>
            </w:r>
          </w:p>
        </w:tc>
      </w:tr>
      <w:tr w:rsidR="002B2DBF" w:rsidRPr="00235CDA" w:rsidTr="008D49A6">
        <w:tc>
          <w:tcPr>
            <w:tcW w:w="1080" w:type="dxa"/>
          </w:tcPr>
          <w:p w:rsidR="002B2DBF" w:rsidRDefault="002B2DBF" w:rsidP="008C1F44">
            <w:pPr>
              <w:spacing w:before="60" w:after="60"/>
              <w:jc w:val="center"/>
              <w:rPr>
                <w:rFonts w:cs="Arial"/>
                <w:sz w:val="16"/>
                <w:szCs w:val="20"/>
              </w:rPr>
            </w:pPr>
            <w:r>
              <w:rPr>
                <w:rFonts w:cs="Arial"/>
                <w:sz w:val="16"/>
                <w:szCs w:val="20"/>
              </w:rPr>
              <w:t>3</w:t>
            </w:r>
          </w:p>
        </w:tc>
        <w:tc>
          <w:tcPr>
            <w:tcW w:w="1440" w:type="dxa"/>
          </w:tcPr>
          <w:p w:rsidR="002B2DBF" w:rsidRDefault="002B2DBF" w:rsidP="008C1F44">
            <w:pPr>
              <w:spacing w:before="60" w:after="60"/>
              <w:jc w:val="center"/>
              <w:rPr>
                <w:rFonts w:cs="Arial"/>
                <w:sz w:val="16"/>
                <w:szCs w:val="20"/>
              </w:rPr>
            </w:pPr>
            <w:r>
              <w:rPr>
                <w:rFonts w:cs="Arial"/>
                <w:sz w:val="16"/>
                <w:szCs w:val="20"/>
              </w:rPr>
              <w:t>26.07.2016</w:t>
            </w:r>
          </w:p>
        </w:tc>
        <w:tc>
          <w:tcPr>
            <w:tcW w:w="3060" w:type="dxa"/>
          </w:tcPr>
          <w:p w:rsidR="002B2DBF" w:rsidRDefault="002B2DBF" w:rsidP="008C1F44">
            <w:pPr>
              <w:spacing w:before="60" w:after="60"/>
              <w:jc w:val="both"/>
              <w:rPr>
                <w:rFonts w:cs="Arial"/>
                <w:sz w:val="16"/>
                <w:szCs w:val="20"/>
              </w:rPr>
            </w:pPr>
            <w:r>
              <w:rPr>
                <w:rFonts w:cs="Arial"/>
                <w:sz w:val="16"/>
                <w:szCs w:val="20"/>
              </w:rPr>
              <w:t>Policy reviewed and updated</w:t>
            </w:r>
          </w:p>
        </w:tc>
        <w:tc>
          <w:tcPr>
            <w:tcW w:w="1611" w:type="dxa"/>
          </w:tcPr>
          <w:p w:rsidR="002B2DBF" w:rsidRDefault="002B2DBF" w:rsidP="008C1F44">
            <w:pPr>
              <w:spacing w:before="60" w:after="60"/>
              <w:jc w:val="both"/>
              <w:rPr>
                <w:rFonts w:cs="Arial"/>
                <w:sz w:val="16"/>
                <w:szCs w:val="20"/>
              </w:rPr>
            </w:pPr>
            <w:r>
              <w:rPr>
                <w:rFonts w:cs="Arial"/>
                <w:sz w:val="16"/>
                <w:szCs w:val="20"/>
              </w:rPr>
              <w:t>D Elsmore</w:t>
            </w:r>
          </w:p>
        </w:tc>
        <w:tc>
          <w:tcPr>
            <w:tcW w:w="1611" w:type="dxa"/>
          </w:tcPr>
          <w:p w:rsidR="002B2DBF" w:rsidRDefault="002B2DBF" w:rsidP="008C1F44">
            <w:pPr>
              <w:spacing w:before="60" w:after="60"/>
              <w:jc w:val="both"/>
              <w:rPr>
                <w:rFonts w:cs="Arial"/>
                <w:sz w:val="16"/>
                <w:szCs w:val="20"/>
              </w:rPr>
            </w:pPr>
            <w:r>
              <w:rPr>
                <w:rFonts w:cs="Arial"/>
                <w:sz w:val="16"/>
                <w:szCs w:val="20"/>
              </w:rPr>
              <w:t>J Gregg</w:t>
            </w:r>
          </w:p>
        </w:tc>
        <w:tc>
          <w:tcPr>
            <w:tcW w:w="1449" w:type="dxa"/>
          </w:tcPr>
          <w:p w:rsidR="002B2DBF" w:rsidRDefault="002B2DBF" w:rsidP="008C1F44">
            <w:pPr>
              <w:spacing w:before="60" w:after="60"/>
              <w:jc w:val="both"/>
              <w:rPr>
                <w:rFonts w:cs="Arial"/>
                <w:sz w:val="16"/>
                <w:szCs w:val="20"/>
              </w:rPr>
            </w:pPr>
          </w:p>
        </w:tc>
      </w:tr>
      <w:tr w:rsidR="005271C2" w:rsidRPr="00235CDA" w:rsidTr="008D49A6">
        <w:tc>
          <w:tcPr>
            <w:tcW w:w="1080" w:type="dxa"/>
          </w:tcPr>
          <w:p w:rsidR="005271C2" w:rsidRDefault="005271C2" w:rsidP="008C1F44">
            <w:pPr>
              <w:spacing w:before="60" w:after="60"/>
              <w:jc w:val="center"/>
              <w:rPr>
                <w:rFonts w:cs="Arial"/>
                <w:sz w:val="16"/>
                <w:szCs w:val="20"/>
              </w:rPr>
            </w:pPr>
            <w:r>
              <w:rPr>
                <w:rFonts w:cs="Arial"/>
                <w:sz w:val="16"/>
                <w:szCs w:val="20"/>
              </w:rPr>
              <w:t>4</w:t>
            </w:r>
          </w:p>
        </w:tc>
        <w:tc>
          <w:tcPr>
            <w:tcW w:w="1440" w:type="dxa"/>
          </w:tcPr>
          <w:p w:rsidR="005271C2" w:rsidRDefault="005271C2" w:rsidP="008C1F44">
            <w:pPr>
              <w:spacing w:before="60" w:after="60"/>
              <w:jc w:val="center"/>
              <w:rPr>
                <w:rFonts w:cs="Arial"/>
                <w:sz w:val="16"/>
                <w:szCs w:val="20"/>
              </w:rPr>
            </w:pPr>
            <w:r>
              <w:rPr>
                <w:rFonts w:cs="Arial"/>
                <w:sz w:val="16"/>
                <w:szCs w:val="20"/>
              </w:rPr>
              <w:t>17.01.2017</w:t>
            </w:r>
          </w:p>
        </w:tc>
        <w:tc>
          <w:tcPr>
            <w:tcW w:w="3060" w:type="dxa"/>
          </w:tcPr>
          <w:p w:rsidR="005271C2" w:rsidRDefault="005271C2" w:rsidP="008C1F44">
            <w:pPr>
              <w:spacing w:before="60" w:after="60"/>
              <w:jc w:val="both"/>
              <w:rPr>
                <w:rFonts w:cs="Arial"/>
                <w:sz w:val="16"/>
                <w:szCs w:val="20"/>
              </w:rPr>
            </w:pPr>
            <w:r>
              <w:rPr>
                <w:rFonts w:cs="Arial"/>
                <w:sz w:val="16"/>
                <w:szCs w:val="20"/>
              </w:rPr>
              <w:t xml:space="preserve">Policy reviewed and rewritten </w:t>
            </w:r>
            <w:r w:rsidR="00625C88">
              <w:rPr>
                <w:rFonts w:cs="Arial"/>
                <w:sz w:val="16"/>
                <w:szCs w:val="20"/>
              </w:rPr>
              <w:t>at the request of the Board</w:t>
            </w:r>
          </w:p>
        </w:tc>
        <w:tc>
          <w:tcPr>
            <w:tcW w:w="1611" w:type="dxa"/>
          </w:tcPr>
          <w:p w:rsidR="005271C2" w:rsidRDefault="00625C88" w:rsidP="00625C88">
            <w:pPr>
              <w:spacing w:before="60" w:after="60"/>
              <w:jc w:val="both"/>
              <w:rPr>
                <w:rFonts w:cs="Arial"/>
                <w:sz w:val="16"/>
                <w:szCs w:val="20"/>
              </w:rPr>
            </w:pPr>
            <w:r>
              <w:rPr>
                <w:rFonts w:cs="Arial"/>
                <w:sz w:val="16"/>
                <w:szCs w:val="20"/>
              </w:rPr>
              <w:t>A Gray</w:t>
            </w:r>
          </w:p>
        </w:tc>
        <w:tc>
          <w:tcPr>
            <w:tcW w:w="1611" w:type="dxa"/>
          </w:tcPr>
          <w:p w:rsidR="005271C2" w:rsidRDefault="00625C88" w:rsidP="008C1F44">
            <w:pPr>
              <w:spacing w:before="60" w:after="60"/>
              <w:jc w:val="both"/>
              <w:rPr>
                <w:rFonts w:cs="Arial"/>
                <w:sz w:val="16"/>
                <w:szCs w:val="20"/>
              </w:rPr>
            </w:pPr>
            <w:r>
              <w:rPr>
                <w:rFonts w:cs="Arial"/>
                <w:sz w:val="16"/>
                <w:szCs w:val="20"/>
              </w:rPr>
              <w:t>J Gregg</w:t>
            </w:r>
          </w:p>
        </w:tc>
        <w:tc>
          <w:tcPr>
            <w:tcW w:w="1449" w:type="dxa"/>
          </w:tcPr>
          <w:p w:rsidR="005271C2" w:rsidRDefault="00EF5490" w:rsidP="008C1F44">
            <w:pPr>
              <w:spacing w:before="60" w:after="60"/>
              <w:jc w:val="both"/>
              <w:rPr>
                <w:rFonts w:cs="Arial"/>
                <w:sz w:val="16"/>
                <w:szCs w:val="20"/>
              </w:rPr>
            </w:pPr>
            <w:r>
              <w:rPr>
                <w:rFonts w:cs="Arial"/>
                <w:sz w:val="16"/>
                <w:szCs w:val="20"/>
              </w:rPr>
              <w:t>Board</w:t>
            </w:r>
          </w:p>
        </w:tc>
      </w:tr>
    </w:tbl>
    <w:p w:rsidR="008D0EAC" w:rsidRDefault="008D0EAC" w:rsidP="00D3045D">
      <w:pPr>
        <w:jc w:val="both"/>
      </w:pPr>
    </w:p>
    <w:sectPr w:rsidR="008D0EAC" w:rsidSect="000315FB">
      <w:headerReference w:type="default" r:id="rId10"/>
      <w:footerReference w:type="default" r:id="rId11"/>
      <w:headerReference w:type="first" r:id="rId12"/>
      <w:footerReference w:type="first" r:id="rId13"/>
      <w:pgSz w:w="11906" w:h="16838" w:code="9"/>
      <w:pgMar w:top="1440" w:right="1230" w:bottom="1078" w:left="1230" w:header="709" w:footer="2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97" w:rsidRDefault="00CB4697">
      <w:r>
        <w:separator/>
      </w:r>
    </w:p>
    <w:p w:rsidR="00CB4697" w:rsidRDefault="00CB4697"/>
  </w:endnote>
  <w:endnote w:type="continuationSeparator" w:id="0">
    <w:p w:rsidR="00CB4697" w:rsidRDefault="00CB4697">
      <w:r>
        <w:continuationSeparator/>
      </w:r>
    </w:p>
    <w:p w:rsidR="00CB4697" w:rsidRDefault="00CB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1"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552"/>
      <w:gridCol w:w="1692"/>
    </w:tblGrid>
    <w:tr w:rsidR="00EF2EDD" w:rsidRPr="00235CDA" w:rsidTr="00634330">
      <w:tc>
        <w:tcPr>
          <w:tcW w:w="2977" w:type="dxa"/>
        </w:tcPr>
        <w:p w:rsidR="00EF2EDD" w:rsidRPr="00235CDA" w:rsidRDefault="00EF2EDD" w:rsidP="00634330">
          <w:pPr>
            <w:tabs>
              <w:tab w:val="left" w:pos="2835"/>
              <w:tab w:val="left" w:pos="5387"/>
              <w:tab w:val="right" w:pos="8647"/>
            </w:tabs>
            <w:spacing w:before="120"/>
            <w:jc w:val="both"/>
            <w:rPr>
              <w:rFonts w:cs="Arial"/>
              <w:sz w:val="16"/>
            </w:rPr>
          </w:pPr>
          <w:r w:rsidRPr="00235CDA">
            <w:rPr>
              <w:rFonts w:cs="Arial"/>
              <w:sz w:val="16"/>
            </w:rPr>
            <w:t xml:space="preserve">Doc No: </w:t>
          </w:r>
        </w:p>
      </w:tc>
      <w:tc>
        <w:tcPr>
          <w:tcW w:w="2410" w:type="dxa"/>
        </w:tcPr>
        <w:p w:rsidR="00EF2EDD" w:rsidRPr="00235CDA" w:rsidRDefault="00EF2EDD" w:rsidP="00634330">
          <w:pPr>
            <w:tabs>
              <w:tab w:val="left" w:pos="2835"/>
              <w:tab w:val="left" w:pos="5387"/>
              <w:tab w:val="right" w:pos="8647"/>
            </w:tabs>
            <w:spacing w:before="120"/>
            <w:rPr>
              <w:rFonts w:cs="Arial"/>
              <w:sz w:val="16"/>
            </w:rPr>
          </w:pPr>
          <w:r w:rsidRPr="00235CDA">
            <w:rPr>
              <w:rFonts w:cs="Arial"/>
              <w:sz w:val="16"/>
            </w:rPr>
            <w:t xml:space="preserve">Rev: </w:t>
          </w:r>
          <w:r w:rsidR="00EF5490">
            <w:rPr>
              <w:rFonts w:cs="Arial"/>
              <w:sz w:val="16"/>
            </w:rPr>
            <w:t>4</w:t>
          </w:r>
        </w:p>
      </w:tc>
      <w:tc>
        <w:tcPr>
          <w:tcW w:w="2552" w:type="dxa"/>
        </w:tcPr>
        <w:p w:rsidR="00EF2EDD" w:rsidRPr="00235CDA" w:rsidRDefault="00EF2EDD" w:rsidP="00EF5490">
          <w:pPr>
            <w:tabs>
              <w:tab w:val="left" w:pos="2835"/>
              <w:tab w:val="left" w:pos="5387"/>
              <w:tab w:val="right" w:pos="8647"/>
            </w:tabs>
            <w:spacing w:before="120"/>
            <w:rPr>
              <w:rFonts w:cs="Arial"/>
              <w:sz w:val="16"/>
            </w:rPr>
          </w:pPr>
          <w:r w:rsidRPr="00235CDA">
            <w:rPr>
              <w:rFonts w:cs="Arial"/>
              <w:sz w:val="16"/>
            </w:rPr>
            <w:t xml:space="preserve">Rev Date: </w:t>
          </w:r>
          <w:r w:rsidR="00EF5490">
            <w:rPr>
              <w:rFonts w:cs="Arial"/>
              <w:sz w:val="16"/>
            </w:rPr>
            <w:t>17.01.2017</w:t>
          </w:r>
        </w:p>
      </w:tc>
      <w:tc>
        <w:tcPr>
          <w:tcW w:w="1692" w:type="dxa"/>
        </w:tcPr>
        <w:p w:rsidR="00EF2EDD" w:rsidRPr="003459D5" w:rsidRDefault="00EF2EDD" w:rsidP="00634330">
          <w:pPr>
            <w:tabs>
              <w:tab w:val="left" w:pos="2835"/>
              <w:tab w:val="left" w:pos="5387"/>
              <w:tab w:val="right" w:pos="8647"/>
            </w:tabs>
            <w:spacing w:before="120"/>
            <w:jc w:val="right"/>
            <w:rPr>
              <w:rFonts w:cs="Arial"/>
              <w:sz w:val="16"/>
            </w:rPr>
          </w:pPr>
          <w:r w:rsidRPr="003459D5">
            <w:rPr>
              <w:rFonts w:cs="Arial"/>
              <w:snapToGrid w:val="0"/>
              <w:sz w:val="16"/>
            </w:rPr>
            <w:t xml:space="preserve">Page </w:t>
          </w:r>
          <w:r w:rsidRPr="003459D5">
            <w:rPr>
              <w:rFonts w:cs="Arial"/>
              <w:snapToGrid w:val="0"/>
              <w:sz w:val="16"/>
            </w:rPr>
            <w:fldChar w:fldCharType="begin"/>
          </w:r>
          <w:r w:rsidRPr="003459D5">
            <w:rPr>
              <w:rFonts w:cs="Arial"/>
              <w:snapToGrid w:val="0"/>
              <w:sz w:val="16"/>
            </w:rPr>
            <w:instrText xml:space="preserve"> PAGE </w:instrText>
          </w:r>
          <w:r w:rsidRPr="003459D5">
            <w:rPr>
              <w:rFonts w:cs="Arial"/>
              <w:snapToGrid w:val="0"/>
              <w:sz w:val="16"/>
            </w:rPr>
            <w:fldChar w:fldCharType="separate"/>
          </w:r>
          <w:r w:rsidR="00E9467F">
            <w:rPr>
              <w:rFonts w:cs="Arial"/>
              <w:noProof/>
              <w:snapToGrid w:val="0"/>
              <w:sz w:val="16"/>
            </w:rPr>
            <w:t>2</w:t>
          </w:r>
          <w:r w:rsidRPr="003459D5">
            <w:rPr>
              <w:rFonts w:cs="Arial"/>
              <w:snapToGrid w:val="0"/>
              <w:sz w:val="16"/>
            </w:rPr>
            <w:fldChar w:fldCharType="end"/>
          </w:r>
          <w:r w:rsidRPr="003459D5">
            <w:rPr>
              <w:rFonts w:cs="Arial"/>
              <w:snapToGrid w:val="0"/>
              <w:sz w:val="16"/>
            </w:rPr>
            <w:t xml:space="preserve"> of </w:t>
          </w:r>
          <w:r w:rsidRPr="003459D5">
            <w:rPr>
              <w:rStyle w:val="PageNumber"/>
              <w:rFonts w:cs="Arial"/>
            </w:rPr>
            <w:fldChar w:fldCharType="begin"/>
          </w:r>
          <w:r w:rsidRPr="003459D5">
            <w:rPr>
              <w:rStyle w:val="PageNumber"/>
              <w:rFonts w:cs="Arial"/>
            </w:rPr>
            <w:instrText xml:space="preserve"> NUMPAGES </w:instrText>
          </w:r>
          <w:r w:rsidRPr="003459D5">
            <w:rPr>
              <w:rStyle w:val="PageNumber"/>
              <w:rFonts w:cs="Arial"/>
            </w:rPr>
            <w:fldChar w:fldCharType="separate"/>
          </w:r>
          <w:r w:rsidR="00E9467F">
            <w:rPr>
              <w:rStyle w:val="PageNumber"/>
              <w:rFonts w:cs="Arial"/>
              <w:noProof/>
            </w:rPr>
            <w:t>5</w:t>
          </w:r>
          <w:r w:rsidRPr="003459D5">
            <w:rPr>
              <w:rStyle w:val="PageNumber"/>
              <w:rFonts w:cs="Arial"/>
            </w:rPr>
            <w:fldChar w:fldCharType="end"/>
          </w:r>
        </w:p>
      </w:tc>
    </w:tr>
  </w:tbl>
  <w:p w:rsidR="00EF2EDD" w:rsidRPr="00235CDA" w:rsidRDefault="00EF2EDD" w:rsidP="00EF2EDD">
    <w:pPr>
      <w:tabs>
        <w:tab w:val="center" w:pos="4153"/>
        <w:tab w:val="right" w:pos="8306"/>
      </w:tabs>
      <w:jc w:val="center"/>
      <w:rPr>
        <w:rFonts w:cs="Arial"/>
        <w:b/>
        <w:sz w:val="18"/>
        <w:szCs w:val="18"/>
      </w:rPr>
    </w:pPr>
    <w:r w:rsidRPr="00235CDA">
      <w:rPr>
        <w:rFonts w:cs="Arial"/>
        <w:b/>
        <w:sz w:val="18"/>
        <w:szCs w:val="18"/>
      </w:rPr>
      <w:t>THIS DOCUMENT IS UNCONTROLLED IN HARD COPY FORMAT</w:t>
    </w:r>
  </w:p>
  <w:p w:rsidR="00EF2EDD" w:rsidRDefault="00EF2EDD" w:rsidP="00EF2EDD"/>
  <w:p w:rsidR="00EC3302" w:rsidRPr="00EF2EDD" w:rsidRDefault="00EC3302" w:rsidP="00EF2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72"/>
      <w:gridCol w:w="1843"/>
      <w:gridCol w:w="871"/>
      <w:gridCol w:w="2267"/>
      <w:gridCol w:w="851"/>
      <w:gridCol w:w="1134"/>
    </w:tblGrid>
    <w:tr w:rsidR="00EF2EDD" w:rsidRPr="00235CDA" w:rsidTr="00634330">
      <w:tc>
        <w:tcPr>
          <w:tcW w:w="2835" w:type="dxa"/>
          <w:tcBorders>
            <w:left w:val="nil"/>
            <w:bottom w:val="single" w:sz="4" w:space="0" w:color="auto"/>
            <w:right w:val="nil"/>
          </w:tcBorders>
        </w:tcPr>
        <w:p w:rsidR="00EF2EDD" w:rsidRPr="00235CDA" w:rsidRDefault="00EF5490" w:rsidP="00EF5490">
          <w:pPr>
            <w:tabs>
              <w:tab w:val="left" w:pos="3436"/>
              <w:tab w:val="right" w:pos="8505"/>
            </w:tabs>
            <w:spacing w:before="360"/>
            <w:rPr>
              <w:rFonts w:cs="Arial"/>
              <w:sz w:val="16"/>
              <w:szCs w:val="16"/>
            </w:rPr>
          </w:pPr>
          <w:r>
            <w:rPr>
              <w:rFonts w:cs="Arial"/>
              <w:sz w:val="16"/>
              <w:szCs w:val="16"/>
            </w:rPr>
            <w:t>WRITTEN BY: A Gray</w:t>
          </w:r>
        </w:p>
      </w:tc>
      <w:tc>
        <w:tcPr>
          <w:tcW w:w="3686" w:type="dxa"/>
          <w:gridSpan w:val="3"/>
          <w:tcBorders>
            <w:left w:val="nil"/>
            <w:bottom w:val="single" w:sz="4" w:space="0" w:color="auto"/>
            <w:right w:val="nil"/>
          </w:tcBorders>
        </w:tcPr>
        <w:p w:rsidR="00EF2EDD" w:rsidRPr="00235CDA" w:rsidRDefault="00EF2EDD" w:rsidP="00EF5490">
          <w:pPr>
            <w:tabs>
              <w:tab w:val="left" w:pos="3436"/>
              <w:tab w:val="right" w:pos="8505"/>
            </w:tabs>
            <w:spacing w:before="360"/>
            <w:rPr>
              <w:rFonts w:cs="Arial"/>
              <w:sz w:val="16"/>
              <w:szCs w:val="16"/>
            </w:rPr>
          </w:pPr>
          <w:r w:rsidRPr="00235CDA">
            <w:rPr>
              <w:rFonts w:cs="Arial"/>
              <w:sz w:val="16"/>
              <w:szCs w:val="16"/>
            </w:rPr>
            <w:t xml:space="preserve">ENDORSED/CHECKED BY: </w:t>
          </w:r>
          <w:r w:rsidR="00EF5490">
            <w:rPr>
              <w:rFonts w:cs="Arial"/>
              <w:sz w:val="16"/>
              <w:szCs w:val="16"/>
            </w:rPr>
            <w:t>J Gregg</w:t>
          </w:r>
          <w:r w:rsidRPr="00235CDA">
            <w:rPr>
              <w:rFonts w:cs="Arial"/>
              <w:sz w:val="16"/>
              <w:szCs w:val="16"/>
            </w:rPr>
            <w:t xml:space="preserve">                               </w:t>
          </w:r>
        </w:p>
      </w:tc>
      <w:tc>
        <w:tcPr>
          <w:tcW w:w="3118" w:type="dxa"/>
          <w:gridSpan w:val="2"/>
          <w:tcBorders>
            <w:left w:val="nil"/>
            <w:bottom w:val="single" w:sz="4" w:space="0" w:color="auto"/>
            <w:right w:val="nil"/>
          </w:tcBorders>
        </w:tcPr>
        <w:p w:rsidR="00EF5490" w:rsidRPr="00235CDA" w:rsidRDefault="00EF5490" w:rsidP="00EF5490">
          <w:pPr>
            <w:tabs>
              <w:tab w:val="left" w:pos="3436"/>
              <w:tab w:val="right" w:pos="8505"/>
            </w:tabs>
            <w:spacing w:before="360"/>
            <w:rPr>
              <w:rFonts w:cs="Arial"/>
              <w:sz w:val="16"/>
              <w:szCs w:val="16"/>
            </w:rPr>
          </w:pPr>
          <w:r>
            <w:rPr>
              <w:rFonts w:cs="Arial"/>
              <w:sz w:val="16"/>
              <w:szCs w:val="16"/>
            </w:rPr>
            <w:t>APPROVED BY: Board</w:t>
          </w:r>
        </w:p>
        <w:p w:rsidR="00EF2EDD" w:rsidRPr="00235CDA" w:rsidRDefault="00EF2EDD" w:rsidP="00634330">
          <w:pPr>
            <w:tabs>
              <w:tab w:val="right" w:pos="8505"/>
            </w:tabs>
            <w:spacing w:before="60"/>
            <w:ind w:left="318" w:right="-136"/>
            <w:rPr>
              <w:rFonts w:cs="Arial"/>
              <w:sz w:val="16"/>
              <w:szCs w:val="16"/>
            </w:rPr>
          </w:pPr>
          <w:r w:rsidRPr="00235CDA">
            <w:rPr>
              <w:rFonts w:cs="Arial"/>
              <w:sz w:val="16"/>
              <w:szCs w:val="16"/>
            </w:rPr>
            <w:t xml:space="preserve"> </w:t>
          </w:r>
        </w:p>
      </w:tc>
      <w:tc>
        <w:tcPr>
          <w:tcW w:w="1134" w:type="dxa"/>
          <w:tcBorders>
            <w:left w:val="nil"/>
            <w:bottom w:val="single" w:sz="4" w:space="0" w:color="auto"/>
            <w:right w:val="nil"/>
          </w:tcBorders>
        </w:tcPr>
        <w:p w:rsidR="00EF2EDD" w:rsidRPr="00235CDA" w:rsidRDefault="00EF2EDD" w:rsidP="00EF5490">
          <w:pPr>
            <w:tabs>
              <w:tab w:val="left" w:pos="3719"/>
              <w:tab w:val="right" w:pos="8505"/>
            </w:tabs>
            <w:spacing w:before="360"/>
            <w:rPr>
              <w:rFonts w:cs="Arial"/>
              <w:sz w:val="16"/>
              <w:szCs w:val="16"/>
            </w:rPr>
          </w:pPr>
          <w:r w:rsidRPr="00235CDA">
            <w:rPr>
              <w:rFonts w:cs="Arial"/>
              <w:sz w:val="16"/>
              <w:szCs w:val="16"/>
            </w:rPr>
            <w:t xml:space="preserve">DATE: </w:t>
          </w:r>
          <w:r w:rsidR="00EF5490">
            <w:rPr>
              <w:rFonts w:cs="Arial"/>
              <w:sz w:val="16"/>
              <w:szCs w:val="16"/>
            </w:rPr>
            <w:t>23/03/17</w:t>
          </w:r>
        </w:p>
      </w:tc>
    </w:tr>
    <w:tr w:rsidR="00EF2EDD" w:rsidRPr="00235CDA" w:rsidTr="00BF4807">
      <w:tc>
        <w:tcPr>
          <w:tcW w:w="3807" w:type="dxa"/>
          <w:gridSpan w:val="2"/>
          <w:tcBorders>
            <w:left w:val="nil"/>
            <w:bottom w:val="single" w:sz="4" w:space="0" w:color="auto"/>
          </w:tcBorders>
        </w:tcPr>
        <w:p w:rsidR="00EF2EDD" w:rsidRPr="00235CDA" w:rsidRDefault="00EF2EDD" w:rsidP="00634330">
          <w:pPr>
            <w:pStyle w:val="Footer"/>
            <w:tabs>
              <w:tab w:val="clear" w:pos="4153"/>
              <w:tab w:val="clear" w:pos="8306"/>
              <w:tab w:val="left" w:pos="2835"/>
              <w:tab w:val="left" w:pos="5387"/>
              <w:tab w:val="right" w:pos="8647"/>
            </w:tabs>
            <w:spacing w:before="60" w:after="60"/>
            <w:rPr>
              <w:rFonts w:cs="Arial"/>
              <w:sz w:val="16"/>
              <w:szCs w:val="16"/>
            </w:rPr>
          </w:pPr>
          <w:r w:rsidRPr="00235CDA">
            <w:rPr>
              <w:rFonts w:cs="Arial"/>
              <w:sz w:val="16"/>
              <w:szCs w:val="16"/>
            </w:rPr>
            <w:t>Doc No:</w:t>
          </w:r>
          <w:r w:rsidR="00EF5490">
            <w:rPr>
              <w:rFonts w:cs="Arial"/>
              <w:sz w:val="16"/>
              <w:szCs w:val="16"/>
            </w:rPr>
            <w:t>FNC-POL-04</w:t>
          </w:r>
        </w:p>
      </w:tc>
      <w:tc>
        <w:tcPr>
          <w:tcW w:w="1843" w:type="dxa"/>
          <w:tcBorders>
            <w:bottom w:val="single" w:sz="4" w:space="0" w:color="auto"/>
          </w:tcBorders>
        </w:tcPr>
        <w:p w:rsidR="00EF2EDD" w:rsidRPr="00235CDA" w:rsidRDefault="00EF2EDD" w:rsidP="00634330">
          <w:pPr>
            <w:pStyle w:val="Footer"/>
            <w:tabs>
              <w:tab w:val="clear" w:pos="4153"/>
              <w:tab w:val="clear" w:pos="8306"/>
              <w:tab w:val="left" w:pos="2835"/>
              <w:tab w:val="left" w:pos="5387"/>
              <w:tab w:val="right" w:pos="8647"/>
            </w:tabs>
            <w:spacing w:before="60" w:after="60"/>
            <w:rPr>
              <w:rFonts w:cs="Arial"/>
              <w:sz w:val="16"/>
              <w:szCs w:val="16"/>
            </w:rPr>
          </w:pPr>
          <w:r w:rsidRPr="00235CDA">
            <w:rPr>
              <w:rFonts w:cs="Arial"/>
              <w:sz w:val="16"/>
              <w:szCs w:val="16"/>
            </w:rPr>
            <w:t xml:space="preserve">Revision No: </w:t>
          </w:r>
          <w:r w:rsidR="00BF4807">
            <w:rPr>
              <w:rFonts w:cs="Arial"/>
              <w:sz w:val="16"/>
              <w:szCs w:val="16"/>
            </w:rPr>
            <w:t>4</w:t>
          </w:r>
        </w:p>
      </w:tc>
      <w:tc>
        <w:tcPr>
          <w:tcW w:w="3138" w:type="dxa"/>
          <w:gridSpan w:val="2"/>
          <w:tcBorders>
            <w:bottom w:val="single" w:sz="4" w:space="0" w:color="auto"/>
            <w:right w:val="single" w:sz="4" w:space="0" w:color="auto"/>
          </w:tcBorders>
        </w:tcPr>
        <w:p w:rsidR="00EF2EDD" w:rsidRPr="00235CDA" w:rsidRDefault="00EF2EDD" w:rsidP="00634330">
          <w:pPr>
            <w:pStyle w:val="Footer"/>
            <w:tabs>
              <w:tab w:val="clear" w:pos="4153"/>
              <w:tab w:val="clear" w:pos="8306"/>
              <w:tab w:val="left" w:pos="2835"/>
              <w:tab w:val="left" w:pos="5387"/>
              <w:tab w:val="right" w:pos="8647"/>
            </w:tabs>
            <w:spacing w:before="60" w:after="60"/>
            <w:rPr>
              <w:rFonts w:cs="Arial"/>
              <w:sz w:val="16"/>
              <w:szCs w:val="16"/>
            </w:rPr>
          </w:pPr>
          <w:r w:rsidRPr="00235CDA">
            <w:rPr>
              <w:rFonts w:cs="Arial"/>
              <w:sz w:val="16"/>
              <w:szCs w:val="16"/>
            </w:rPr>
            <w:t xml:space="preserve">Revision Date: </w:t>
          </w:r>
          <w:r w:rsidR="00EF5490">
            <w:rPr>
              <w:rFonts w:cs="Arial"/>
              <w:sz w:val="16"/>
              <w:szCs w:val="16"/>
            </w:rPr>
            <w:t>17/01/17</w:t>
          </w:r>
        </w:p>
      </w:tc>
      <w:tc>
        <w:tcPr>
          <w:tcW w:w="1985" w:type="dxa"/>
          <w:gridSpan w:val="2"/>
          <w:tcBorders>
            <w:left w:val="single" w:sz="4" w:space="0" w:color="auto"/>
            <w:bottom w:val="single" w:sz="4" w:space="0" w:color="auto"/>
            <w:right w:val="nil"/>
          </w:tcBorders>
        </w:tcPr>
        <w:p w:rsidR="00EF2EDD" w:rsidRPr="00235CDA" w:rsidRDefault="00EF2EDD" w:rsidP="00634330">
          <w:pPr>
            <w:pStyle w:val="Footer"/>
            <w:tabs>
              <w:tab w:val="clear" w:pos="4153"/>
              <w:tab w:val="clear" w:pos="8306"/>
              <w:tab w:val="left" w:pos="2835"/>
              <w:tab w:val="left" w:pos="5387"/>
              <w:tab w:val="right" w:pos="8647"/>
            </w:tabs>
            <w:spacing w:before="60" w:after="60"/>
            <w:jc w:val="right"/>
            <w:rPr>
              <w:rFonts w:cs="Arial"/>
              <w:sz w:val="16"/>
              <w:szCs w:val="16"/>
            </w:rPr>
          </w:pPr>
          <w:r w:rsidRPr="00235CDA">
            <w:rPr>
              <w:rFonts w:cs="Arial"/>
              <w:sz w:val="16"/>
              <w:szCs w:val="16"/>
            </w:rPr>
            <w:t xml:space="preserve">Page: </w:t>
          </w:r>
          <w:r w:rsidRPr="00235CDA">
            <w:rPr>
              <w:rStyle w:val="PageNumber"/>
              <w:rFonts w:cs="Arial"/>
              <w:szCs w:val="16"/>
            </w:rPr>
            <w:fldChar w:fldCharType="begin"/>
          </w:r>
          <w:r w:rsidRPr="00235CDA">
            <w:rPr>
              <w:rStyle w:val="PageNumber"/>
              <w:rFonts w:cs="Arial"/>
              <w:szCs w:val="16"/>
            </w:rPr>
            <w:instrText xml:space="preserve"> PAGE </w:instrText>
          </w:r>
          <w:r w:rsidRPr="00235CDA">
            <w:rPr>
              <w:rStyle w:val="PageNumber"/>
              <w:rFonts w:cs="Arial"/>
              <w:szCs w:val="16"/>
            </w:rPr>
            <w:fldChar w:fldCharType="separate"/>
          </w:r>
          <w:r w:rsidR="00E9467F">
            <w:rPr>
              <w:rStyle w:val="PageNumber"/>
              <w:rFonts w:cs="Arial"/>
              <w:noProof/>
              <w:szCs w:val="16"/>
            </w:rPr>
            <w:t>1</w:t>
          </w:r>
          <w:r w:rsidRPr="00235CDA">
            <w:rPr>
              <w:rStyle w:val="PageNumber"/>
              <w:rFonts w:cs="Arial"/>
              <w:szCs w:val="16"/>
            </w:rPr>
            <w:fldChar w:fldCharType="end"/>
          </w:r>
          <w:r w:rsidRPr="00235CDA">
            <w:rPr>
              <w:rStyle w:val="PageNumber"/>
              <w:rFonts w:cs="Arial"/>
              <w:szCs w:val="16"/>
            </w:rPr>
            <w:t xml:space="preserve"> of </w:t>
          </w:r>
          <w:r w:rsidRPr="00235CDA">
            <w:rPr>
              <w:rStyle w:val="PageNumber"/>
              <w:rFonts w:cs="Arial"/>
            </w:rPr>
            <w:fldChar w:fldCharType="begin"/>
          </w:r>
          <w:r w:rsidRPr="00235CDA">
            <w:rPr>
              <w:rStyle w:val="PageNumber"/>
              <w:rFonts w:cs="Arial"/>
            </w:rPr>
            <w:instrText xml:space="preserve"> NUMPAGES </w:instrText>
          </w:r>
          <w:r w:rsidRPr="00235CDA">
            <w:rPr>
              <w:rStyle w:val="PageNumber"/>
              <w:rFonts w:cs="Arial"/>
            </w:rPr>
            <w:fldChar w:fldCharType="separate"/>
          </w:r>
          <w:r w:rsidR="00E9467F">
            <w:rPr>
              <w:rStyle w:val="PageNumber"/>
              <w:rFonts w:cs="Arial"/>
              <w:noProof/>
            </w:rPr>
            <w:t>5</w:t>
          </w:r>
          <w:r w:rsidRPr="00235CDA">
            <w:rPr>
              <w:rStyle w:val="PageNumber"/>
              <w:rFonts w:cs="Arial"/>
            </w:rPr>
            <w:fldChar w:fldCharType="end"/>
          </w:r>
          <w:r w:rsidRPr="00235CDA">
            <w:rPr>
              <w:rStyle w:val="PageNumber"/>
              <w:rFonts w:cs="Arial"/>
              <w:szCs w:val="16"/>
            </w:rPr>
            <w:t xml:space="preserve"> </w:t>
          </w:r>
        </w:p>
      </w:tc>
    </w:tr>
    <w:tr w:rsidR="00EF2EDD" w:rsidRPr="00235CDA" w:rsidTr="00634330">
      <w:tc>
        <w:tcPr>
          <w:tcW w:w="10773" w:type="dxa"/>
          <w:gridSpan w:val="7"/>
          <w:tcBorders>
            <w:left w:val="nil"/>
            <w:right w:val="nil"/>
          </w:tcBorders>
        </w:tcPr>
        <w:p w:rsidR="00EF2EDD" w:rsidRPr="00235CDA" w:rsidRDefault="00EF2EDD" w:rsidP="00634330">
          <w:pPr>
            <w:pStyle w:val="Footer"/>
            <w:tabs>
              <w:tab w:val="clear" w:pos="4153"/>
              <w:tab w:val="clear" w:pos="8306"/>
              <w:tab w:val="left" w:pos="2835"/>
              <w:tab w:val="left" w:pos="5387"/>
              <w:tab w:val="right" w:pos="8647"/>
            </w:tabs>
            <w:spacing w:before="60" w:after="60"/>
            <w:rPr>
              <w:rFonts w:cs="Arial"/>
              <w:sz w:val="16"/>
              <w:szCs w:val="16"/>
            </w:rPr>
          </w:pPr>
          <w:r w:rsidRPr="00235CDA">
            <w:rPr>
              <w:rFonts w:cs="Arial"/>
              <w:sz w:val="16"/>
              <w:szCs w:val="16"/>
            </w:rPr>
            <w:t>Approved via Board Memorandum Number: (For Board Approved Policies Only)</w:t>
          </w:r>
          <w:r w:rsidR="00EF5490">
            <w:rPr>
              <w:rFonts w:cs="Arial"/>
              <w:sz w:val="16"/>
              <w:szCs w:val="16"/>
            </w:rPr>
            <w:t xml:space="preserve">  BD-17-03-6.2</w:t>
          </w:r>
        </w:p>
      </w:tc>
    </w:tr>
  </w:tbl>
  <w:p w:rsidR="00EF2EDD" w:rsidRPr="00235CDA" w:rsidRDefault="00EF2EDD" w:rsidP="00EF2EDD">
    <w:pPr>
      <w:tabs>
        <w:tab w:val="center" w:pos="4153"/>
        <w:tab w:val="right" w:pos="8306"/>
      </w:tabs>
      <w:jc w:val="center"/>
      <w:rPr>
        <w:rFonts w:cs="Arial"/>
        <w:b/>
        <w:sz w:val="18"/>
        <w:szCs w:val="18"/>
      </w:rPr>
    </w:pPr>
    <w:r w:rsidRPr="00235CDA">
      <w:rPr>
        <w:rFonts w:cs="Arial"/>
        <w:b/>
        <w:sz w:val="18"/>
        <w:szCs w:val="18"/>
      </w:rPr>
      <w:t>THIS DOCUMENT IS UNCONTROLLED IN HARD COPY FORMAT</w:t>
    </w:r>
  </w:p>
  <w:p w:rsidR="00EC3302" w:rsidRPr="00EF2EDD" w:rsidRDefault="00EC3302" w:rsidP="00EF2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97" w:rsidRDefault="00CB4697">
      <w:r>
        <w:separator/>
      </w:r>
    </w:p>
    <w:p w:rsidR="00CB4697" w:rsidRDefault="00CB4697"/>
  </w:footnote>
  <w:footnote w:type="continuationSeparator" w:id="0">
    <w:p w:rsidR="00CB4697" w:rsidRDefault="00CB4697">
      <w:r>
        <w:continuationSeparator/>
      </w:r>
    </w:p>
    <w:p w:rsidR="00CB4697" w:rsidRDefault="00CB46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02" w:rsidRDefault="00EF5490">
    <w:pPr>
      <w:pStyle w:val="Header"/>
    </w:pPr>
    <w:r>
      <w:rPr>
        <w:noProof/>
      </w:rPr>
      <w:drawing>
        <wp:anchor distT="0" distB="0" distL="114300" distR="114300" simplePos="0" relativeHeight="251657216" behindDoc="0" locked="0" layoutInCell="1" allowOverlap="1">
          <wp:simplePos x="0" y="0"/>
          <wp:positionH relativeFrom="column">
            <wp:posOffset>5602605</wp:posOffset>
          </wp:positionH>
          <wp:positionV relativeFrom="paragraph">
            <wp:posOffset>6985</wp:posOffset>
          </wp:positionV>
          <wp:extent cx="720090" cy="294005"/>
          <wp:effectExtent l="0" t="0" r="3810" b="0"/>
          <wp:wrapNone/>
          <wp:docPr id="1" name="Picture 1" descr="Stanwell logo_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well logo_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294005"/>
                  </a:xfrm>
                  <a:prstGeom prst="rect">
                    <a:avLst/>
                  </a:prstGeom>
                  <a:noFill/>
                </pic:spPr>
              </pic:pic>
            </a:graphicData>
          </a:graphic>
          <wp14:sizeRelH relativeFrom="page">
            <wp14:pctWidth>0</wp14:pctWidth>
          </wp14:sizeRelH>
          <wp14:sizeRelV relativeFrom="page">
            <wp14:pctHeight>0</wp14:pctHeight>
          </wp14:sizeRelV>
        </wp:anchor>
      </w:drawing>
    </w:r>
  </w:p>
  <w:p w:rsidR="00EC3302" w:rsidRDefault="00EC33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02" w:rsidRPr="00B44EF6" w:rsidRDefault="00EF5490" w:rsidP="00235CDA">
    <w:pPr>
      <w:pStyle w:val="Header"/>
      <w:rPr>
        <w:rFonts w:cs="Arial"/>
        <w:sz w:val="14"/>
        <w:szCs w:val="14"/>
      </w:rPr>
    </w:pPr>
    <w:r>
      <w:rPr>
        <w:noProof/>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6985</wp:posOffset>
          </wp:positionV>
          <wp:extent cx="1619250" cy="838200"/>
          <wp:effectExtent l="0" t="0" r="0" b="0"/>
          <wp:wrapNone/>
          <wp:docPr id="2" name="Picture 2" descr="Stanwell Logo_ colour - 300d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well Logo_ colour - 300d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pic:spPr>
              </pic:pic>
            </a:graphicData>
          </a:graphic>
          <wp14:sizeRelH relativeFrom="page">
            <wp14:pctWidth>0</wp14:pctWidth>
          </wp14:sizeRelH>
          <wp14:sizeRelV relativeFrom="page">
            <wp14:pctHeight>0</wp14:pctHeight>
          </wp14:sizeRelV>
        </wp:anchor>
      </w:drawing>
    </w:r>
  </w:p>
  <w:p w:rsidR="00EC3302" w:rsidRDefault="00EC3302" w:rsidP="00235CDA">
    <w:pPr>
      <w:pStyle w:val="Header"/>
    </w:pPr>
  </w:p>
  <w:p w:rsidR="00EC3302" w:rsidRPr="008D0EAC" w:rsidRDefault="00EC3302" w:rsidP="00235CDA">
    <w:pPr>
      <w:pStyle w:val="Header"/>
      <w:rPr>
        <w:rFonts w:cs="Arial"/>
      </w:rPr>
    </w:pPr>
    <w:r w:rsidRPr="008D0EAC">
      <w:rPr>
        <w:rFonts w:cs="Arial"/>
        <w:sz w:val="52"/>
        <w:szCs w:val="52"/>
      </w:rPr>
      <w:t>Policy</w:t>
    </w:r>
  </w:p>
  <w:p w:rsidR="00EC3302" w:rsidRDefault="00EC3302" w:rsidP="00235CDA">
    <w:pPr>
      <w:pStyle w:val="Header"/>
      <w:rPr>
        <w:rFonts w:cs="Arial"/>
        <w:sz w:val="40"/>
        <w:szCs w:val="40"/>
      </w:rPr>
    </w:pPr>
    <w:r w:rsidRPr="008D0EAC">
      <w:rPr>
        <w:rFonts w:cs="Arial"/>
        <w:sz w:val="40"/>
        <w:szCs w:val="40"/>
      </w:rPr>
      <w:t>(</w:t>
    </w:r>
    <w:r w:rsidR="00587CEB">
      <w:rPr>
        <w:rFonts w:cs="Arial"/>
        <w:sz w:val="40"/>
        <w:szCs w:val="40"/>
      </w:rPr>
      <w:t>Board</w:t>
    </w:r>
    <w:r w:rsidR="00587CEB" w:rsidRPr="008D0EAC">
      <w:rPr>
        <w:rFonts w:cs="Arial"/>
        <w:sz w:val="40"/>
        <w:szCs w:val="40"/>
      </w:rPr>
      <w:t xml:space="preserve"> </w:t>
    </w:r>
    <w:r w:rsidRPr="008D0EAC">
      <w:rPr>
        <w:rFonts w:cs="Arial"/>
        <w:sz w:val="40"/>
        <w:szCs w:val="40"/>
      </w:rPr>
      <w:t>Approved)</w:t>
    </w:r>
  </w:p>
  <w:p w:rsidR="00EC3302" w:rsidRDefault="00EC33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E79"/>
    <w:multiLevelType w:val="hybridMultilevel"/>
    <w:tmpl w:val="DFA8E1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9717644"/>
    <w:multiLevelType w:val="hybridMultilevel"/>
    <w:tmpl w:val="A952398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
    <w:nsid w:val="09D4436D"/>
    <w:multiLevelType w:val="hybridMultilevel"/>
    <w:tmpl w:val="C66A61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AE35E2E"/>
    <w:multiLevelType w:val="hybridMultilevel"/>
    <w:tmpl w:val="03262500"/>
    <w:lvl w:ilvl="0" w:tplc="CAA6E0BC">
      <w:start w:val="1"/>
      <w:numFmt w:val="bullet"/>
      <w:pStyle w:val="SCL-BulletedContent"/>
      <w:lvlText w:val=""/>
      <w:lvlJc w:val="left"/>
      <w:pPr>
        <w:tabs>
          <w:tab w:val="num" w:pos="1069"/>
        </w:tabs>
        <w:ind w:left="1069" w:hanging="360"/>
      </w:pPr>
      <w:rPr>
        <w:rFonts w:ascii="Symbol" w:hAnsi="Symbol" w:hint="default"/>
        <w:color w:val="auto"/>
        <w:sz w:val="20"/>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4">
    <w:nsid w:val="0F54453E"/>
    <w:multiLevelType w:val="hybridMultilevel"/>
    <w:tmpl w:val="1ED65798"/>
    <w:lvl w:ilvl="0" w:tplc="0C09000F">
      <w:start w:val="1"/>
      <w:numFmt w:val="decimal"/>
      <w:lvlText w:val="%1."/>
      <w:lvlJc w:val="left"/>
      <w:pPr>
        <w:ind w:left="1500" w:hanging="360"/>
      </w:pPr>
      <w:rPr>
        <w:rFont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nsid w:val="0F9171BF"/>
    <w:multiLevelType w:val="hybridMultilevel"/>
    <w:tmpl w:val="E5EAFC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76B1635"/>
    <w:multiLevelType w:val="hybridMultilevel"/>
    <w:tmpl w:val="643CCD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91E3E6E"/>
    <w:multiLevelType w:val="hybridMultilevel"/>
    <w:tmpl w:val="89587E3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AD92EEB"/>
    <w:multiLevelType w:val="hybridMultilevel"/>
    <w:tmpl w:val="552286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AF85930"/>
    <w:multiLevelType w:val="hybridMultilevel"/>
    <w:tmpl w:val="9DD8EBC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20760C6B"/>
    <w:multiLevelType w:val="multilevel"/>
    <w:tmpl w:val="59663504"/>
    <w:lvl w:ilvl="0">
      <w:start w:val="1"/>
      <w:numFmt w:val="decimal"/>
      <w:pStyle w:val="SCL-Heading1"/>
      <w:lvlText w:val="%1.0"/>
      <w:lvlJc w:val="left"/>
      <w:pPr>
        <w:tabs>
          <w:tab w:val="num" w:pos="720"/>
        </w:tabs>
        <w:ind w:left="720" w:hanging="720"/>
      </w:pPr>
      <w:rPr>
        <w:rFonts w:hint="default"/>
      </w:rPr>
    </w:lvl>
    <w:lvl w:ilvl="1">
      <w:start w:val="1"/>
      <w:numFmt w:val="decimal"/>
      <w:pStyle w:val="SCL-Heading2"/>
      <w:lvlText w:val="%1.%2"/>
      <w:lvlJc w:val="left"/>
      <w:pPr>
        <w:tabs>
          <w:tab w:val="num" w:pos="1440"/>
        </w:tabs>
        <w:ind w:left="1440" w:hanging="72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nsid w:val="20BF6E99"/>
    <w:multiLevelType w:val="hybridMultilevel"/>
    <w:tmpl w:val="00DEBEF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D14079A"/>
    <w:multiLevelType w:val="hybridMultilevel"/>
    <w:tmpl w:val="C492AC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D763FCB"/>
    <w:multiLevelType w:val="hybridMultilevel"/>
    <w:tmpl w:val="37D086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D20DAD"/>
    <w:multiLevelType w:val="multilevel"/>
    <w:tmpl w:val="9F8C27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DE7C5A"/>
    <w:multiLevelType w:val="hybridMultilevel"/>
    <w:tmpl w:val="9D429E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BC95361"/>
    <w:multiLevelType w:val="hybridMultilevel"/>
    <w:tmpl w:val="D876D9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E54633B"/>
    <w:multiLevelType w:val="hybridMultilevel"/>
    <w:tmpl w:val="12F220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0425820"/>
    <w:multiLevelType w:val="hybridMultilevel"/>
    <w:tmpl w:val="2F36A6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8E9686E"/>
    <w:multiLevelType w:val="hybridMultilevel"/>
    <w:tmpl w:val="163A10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6B81EEC"/>
    <w:multiLevelType w:val="hybridMultilevel"/>
    <w:tmpl w:val="D78217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82B2959"/>
    <w:multiLevelType w:val="hybridMultilevel"/>
    <w:tmpl w:val="EC2C024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2">
    <w:nsid w:val="58ED4301"/>
    <w:multiLevelType w:val="hybridMultilevel"/>
    <w:tmpl w:val="6C86D51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C1B4116"/>
    <w:multiLevelType w:val="hybridMultilevel"/>
    <w:tmpl w:val="303616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C711DD1"/>
    <w:multiLevelType w:val="hybridMultilevel"/>
    <w:tmpl w:val="1AA69F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E8B3D8F"/>
    <w:multiLevelType w:val="hybridMultilevel"/>
    <w:tmpl w:val="9ADC809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6">
    <w:nsid w:val="5EC917DC"/>
    <w:multiLevelType w:val="hybridMultilevel"/>
    <w:tmpl w:val="27F8BA2E"/>
    <w:lvl w:ilvl="0" w:tplc="4B50C702">
      <w:start w:val="1"/>
      <w:numFmt w:val="bullet"/>
      <w:lvlText w:val=""/>
      <w:lvlJc w:val="left"/>
      <w:pPr>
        <w:tabs>
          <w:tab w:val="num" w:pos="720"/>
        </w:tabs>
        <w:ind w:left="720" w:hanging="360"/>
      </w:pPr>
      <w:rPr>
        <w:rFonts w:ascii="Symbol" w:hAnsi="Symbol" w:hint="default"/>
        <w:sz w:val="22"/>
      </w:rPr>
    </w:lvl>
    <w:lvl w:ilvl="1" w:tplc="40BA9CEC">
      <w:start w:val="1"/>
      <w:numFmt w:val="bullet"/>
      <w:lvlText w:val=""/>
      <w:lvlJc w:val="left"/>
      <w:pPr>
        <w:tabs>
          <w:tab w:val="num" w:pos="1440"/>
        </w:tabs>
        <w:ind w:left="1440" w:hanging="360"/>
      </w:pPr>
      <w:rPr>
        <w:rFonts w:ascii="Symbol" w:hAnsi="Symbol" w:hint="default"/>
        <w:color w:val="FFFF00"/>
        <w:sz w:val="20"/>
      </w:rPr>
    </w:lvl>
    <w:lvl w:ilvl="2" w:tplc="40BA9CEC">
      <w:start w:val="1"/>
      <w:numFmt w:val="bullet"/>
      <w:lvlText w:val=""/>
      <w:lvlJc w:val="left"/>
      <w:pPr>
        <w:tabs>
          <w:tab w:val="num" w:pos="2340"/>
        </w:tabs>
        <w:ind w:left="2340" w:hanging="360"/>
      </w:pPr>
      <w:rPr>
        <w:rFonts w:ascii="Symbol" w:hAnsi="Symbol" w:hint="default"/>
        <w:color w:val="FFFF00"/>
        <w:sz w:val="20"/>
      </w:r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39C0985"/>
    <w:multiLevelType w:val="hybridMultilevel"/>
    <w:tmpl w:val="C8F02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74343073"/>
    <w:multiLevelType w:val="hybridMultilevel"/>
    <w:tmpl w:val="B3B844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4AF1D31"/>
    <w:multiLevelType w:val="hybridMultilevel"/>
    <w:tmpl w:val="103E6542"/>
    <w:lvl w:ilvl="0" w:tplc="0C090001">
      <w:start w:val="1"/>
      <w:numFmt w:val="bullet"/>
      <w:lvlText w:val=""/>
      <w:lvlJc w:val="left"/>
      <w:pPr>
        <w:ind w:left="1570" w:hanging="360"/>
      </w:pPr>
      <w:rPr>
        <w:rFonts w:ascii="Symbol" w:hAnsi="Symbol" w:hint="default"/>
      </w:rPr>
    </w:lvl>
    <w:lvl w:ilvl="1" w:tplc="0C090003">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num w:numId="1">
    <w:abstractNumId w:val="23"/>
  </w:num>
  <w:num w:numId="2">
    <w:abstractNumId w:val="17"/>
  </w:num>
  <w:num w:numId="3">
    <w:abstractNumId w:val="6"/>
  </w:num>
  <w:num w:numId="4">
    <w:abstractNumId w:val="22"/>
  </w:num>
  <w:num w:numId="5">
    <w:abstractNumId w:val="19"/>
  </w:num>
  <w:num w:numId="6">
    <w:abstractNumId w:val="8"/>
  </w:num>
  <w:num w:numId="7">
    <w:abstractNumId w:val="13"/>
  </w:num>
  <w:num w:numId="8">
    <w:abstractNumId w:val="11"/>
  </w:num>
  <w:num w:numId="9">
    <w:abstractNumId w:val="5"/>
  </w:num>
  <w:num w:numId="10">
    <w:abstractNumId w:val="15"/>
  </w:num>
  <w:num w:numId="11">
    <w:abstractNumId w:val="20"/>
  </w:num>
  <w:num w:numId="12">
    <w:abstractNumId w:val="0"/>
  </w:num>
  <w:num w:numId="13">
    <w:abstractNumId w:val="16"/>
  </w:num>
  <w:num w:numId="14">
    <w:abstractNumId w:val="12"/>
  </w:num>
  <w:num w:numId="15">
    <w:abstractNumId w:val="7"/>
  </w:num>
  <w:num w:numId="16">
    <w:abstractNumId w:val="10"/>
  </w:num>
  <w:num w:numId="17">
    <w:abstractNumId w:val="21"/>
  </w:num>
  <w:num w:numId="18">
    <w:abstractNumId w:val="1"/>
  </w:num>
  <w:num w:numId="19">
    <w:abstractNumId w:val="25"/>
  </w:num>
  <w:num w:numId="20">
    <w:abstractNumId w:val="4"/>
  </w:num>
  <w:num w:numId="21">
    <w:abstractNumId w:val="2"/>
  </w:num>
  <w:num w:numId="22">
    <w:abstractNumId w:val="24"/>
  </w:num>
  <w:num w:numId="23">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8"/>
  </w:num>
  <w:num w:numId="28">
    <w:abstractNumId w:val="27"/>
  </w:num>
  <w:num w:numId="29">
    <w:abstractNumId w:val="9"/>
  </w:num>
  <w:num w:numId="30">
    <w:abstractNumId w:val="28"/>
  </w:num>
  <w:num w:numId="31">
    <w:abstractNumId w:val="14"/>
  </w:num>
  <w:num w:numId="32">
    <w:abstractNumId w:val="29"/>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DB"/>
    <w:rsid w:val="00007150"/>
    <w:rsid w:val="0001612C"/>
    <w:rsid w:val="00020E44"/>
    <w:rsid w:val="00031092"/>
    <w:rsid w:val="000315FB"/>
    <w:rsid w:val="00051375"/>
    <w:rsid w:val="000526F6"/>
    <w:rsid w:val="000541DC"/>
    <w:rsid w:val="00062DF0"/>
    <w:rsid w:val="00062F4C"/>
    <w:rsid w:val="0008686B"/>
    <w:rsid w:val="00090C3D"/>
    <w:rsid w:val="00094A7C"/>
    <w:rsid w:val="000967F8"/>
    <w:rsid w:val="00096F87"/>
    <w:rsid w:val="00097C1B"/>
    <w:rsid w:val="000A1CF8"/>
    <w:rsid w:val="000A1F61"/>
    <w:rsid w:val="000A6799"/>
    <w:rsid w:val="000B5101"/>
    <w:rsid w:val="000D19FB"/>
    <w:rsid w:val="000F4BBD"/>
    <w:rsid w:val="000F5AE5"/>
    <w:rsid w:val="0010457C"/>
    <w:rsid w:val="00110C3C"/>
    <w:rsid w:val="00114A4D"/>
    <w:rsid w:val="00140286"/>
    <w:rsid w:val="00150534"/>
    <w:rsid w:val="00172072"/>
    <w:rsid w:val="00174568"/>
    <w:rsid w:val="001835FB"/>
    <w:rsid w:val="00191DBC"/>
    <w:rsid w:val="001969EB"/>
    <w:rsid w:val="001A66B1"/>
    <w:rsid w:val="001A6A3E"/>
    <w:rsid w:val="001A713D"/>
    <w:rsid w:val="001C49EF"/>
    <w:rsid w:val="001C579C"/>
    <w:rsid w:val="001D5DE5"/>
    <w:rsid w:val="001E3C41"/>
    <w:rsid w:val="001E74BC"/>
    <w:rsid w:val="001F759E"/>
    <w:rsid w:val="002006AC"/>
    <w:rsid w:val="00200D9C"/>
    <w:rsid w:val="0021076D"/>
    <w:rsid w:val="0021381A"/>
    <w:rsid w:val="00224022"/>
    <w:rsid w:val="002337DD"/>
    <w:rsid w:val="00235CDA"/>
    <w:rsid w:val="00241FA8"/>
    <w:rsid w:val="00245789"/>
    <w:rsid w:val="002503CC"/>
    <w:rsid w:val="0025555A"/>
    <w:rsid w:val="002568F0"/>
    <w:rsid w:val="0026164C"/>
    <w:rsid w:val="00292E12"/>
    <w:rsid w:val="002A4606"/>
    <w:rsid w:val="002B0D7D"/>
    <w:rsid w:val="002B2DBF"/>
    <w:rsid w:val="002B3211"/>
    <w:rsid w:val="002B3CBC"/>
    <w:rsid w:val="002B7F43"/>
    <w:rsid w:val="002C477F"/>
    <w:rsid w:val="002D5DBF"/>
    <w:rsid w:val="002E6056"/>
    <w:rsid w:val="002F4A92"/>
    <w:rsid w:val="002F51B9"/>
    <w:rsid w:val="003058FF"/>
    <w:rsid w:val="003076D4"/>
    <w:rsid w:val="003146AC"/>
    <w:rsid w:val="003158BB"/>
    <w:rsid w:val="00320766"/>
    <w:rsid w:val="003221C7"/>
    <w:rsid w:val="0032307C"/>
    <w:rsid w:val="003251A1"/>
    <w:rsid w:val="003273A1"/>
    <w:rsid w:val="00343C69"/>
    <w:rsid w:val="003459D5"/>
    <w:rsid w:val="00350470"/>
    <w:rsid w:val="00351A93"/>
    <w:rsid w:val="00366371"/>
    <w:rsid w:val="00366803"/>
    <w:rsid w:val="00366887"/>
    <w:rsid w:val="003706B7"/>
    <w:rsid w:val="003743CB"/>
    <w:rsid w:val="003749B8"/>
    <w:rsid w:val="003864D5"/>
    <w:rsid w:val="003865AD"/>
    <w:rsid w:val="00387EC5"/>
    <w:rsid w:val="003A62EB"/>
    <w:rsid w:val="003B5C21"/>
    <w:rsid w:val="003B7466"/>
    <w:rsid w:val="003C785B"/>
    <w:rsid w:val="003D070A"/>
    <w:rsid w:val="003D120C"/>
    <w:rsid w:val="003D35CF"/>
    <w:rsid w:val="003D6D8C"/>
    <w:rsid w:val="003E38B4"/>
    <w:rsid w:val="003E45E6"/>
    <w:rsid w:val="003F391F"/>
    <w:rsid w:val="00400A77"/>
    <w:rsid w:val="00405E63"/>
    <w:rsid w:val="00410BF8"/>
    <w:rsid w:val="004244DB"/>
    <w:rsid w:val="00434311"/>
    <w:rsid w:val="00444D3B"/>
    <w:rsid w:val="00447F24"/>
    <w:rsid w:val="004611EB"/>
    <w:rsid w:val="0047278D"/>
    <w:rsid w:val="00475EE4"/>
    <w:rsid w:val="00490BAC"/>
    <w:rsid w:val="004927AB"/>
    <w:rsid w:val="004929D1"/>
    <w:rsid w:val="00495C5D"/>
    <w:rsid w:val="004A1407"/>
    <w:rsid w:val="004B0871"/>
    <w:rsid w:val="004B1669"/>
    <w:rsid w:val="004C6644"/>
    <w:rsid w:val="004E4980"/>
    <w:rsid w:val="004E7566"/>
    <w:rsid w:val="004F4615"/>
    <w:rsid w:val="00500F99"/>
    <w:rsid w:val="00521D6F"/>
    <w:rsid w:val="0052506E"/>
    <w:rsid w:val="005271C2"/>
    <w:rsid w:val="00527B0D"/>
    <w:rsid w:val="00530EDF"/>
    <w:rsid w:val="00533264"/>
    <w:rsid w:val="00545C4A"/>
    <w:rsid w:val="00565DA4"/>
    <w:rsid w:val="005735AB"/>
    <w:rsid w:val="00587CEB"/>
    <w:rsid w:val="005924E7"/>
    <w:rsid w:val="005A25A5"/>
    <w:rsid w:val="005B3DEC"/>
    <w:rsid w:val="005B72F6"/>
    <w:rsid w:val="005C0C30"/>
    <w:rsid w:val="005C24C8"/>
    <w:rsid w:val="005C69F1"/>
    <w:rsid w:val="005C72F5"/>
    <w:rsid w:val="005D4274"/>
    <w:rsid w:val="005D7856"/>
    <w:rsid w:val="005E12B7"/>
    <w:rsid w:val="005F5E27"/>
    <w:rsid w:val="005F739A"/>
    <w:rsid w:val="00600E11"/>
    <w:rsid w:val="006055FA"/>
    <w:rsid w:val="0060595C"/>
    <w:rsid w:val="00615143"/>
    <w:rsid w:val="00623500"/>
    <w:rsid w:val="0062452B"/>
    <w:rsid w:val="00625C88"/>
    <w:rsid w:val="00645C46"/>
    <w:rsid w:val="00650228"/>
    <w:rsid w:val="006660A8"/>
    <w:rsid w:val="00676B99"/>
    <w:rsid w:val="00686ED4"/>
    <w:rsid w:val="0068799C"/>
    <w:rsid w:val="006904D0"/>
    <w:rsid w:val="006A5559"/>
    <w:rsid w:val="006A5FEA"/>
    <w:rsid w:val="006A6B8D"/>
    <w:rsid w:val="006B7F87"/>
    <w:rsid w:val="006C00CF"/>
    <w:rsid w:val="006C756E"/>
    <w:rsid w:val="006D1FD7"/>
    <w:rsid w:val="006D6F03"/>
    <w:rsid w:val="006E0295"/>
    <w:rsid w:val="006E145F"/>
    <w:rsid w:val="006E2D74"/>
    <w:rsid w:val="006F43F4"/>
    <w:rsid w:val="006F5D76"/>
    <w:rsid w:val="00703A36"/>
    <w:rsid w:val="00713F69"/>
    <w:rsid w:val="00722EC2"/>
    <w:rsid w:val="00733157"/>
    <w:rsid w:val="00744D1D"/>
    <w:rsid w:val="0075794E"/>
    <w:rsid w:val="00757F2D"/>
    <w:rsid w:val="00760C7C"/>
    <w:rsid w:val="007721E5"/>
    <w:rsid w:val="00772DC4"/>
    <w:rsid w:val="0077402C"/>
    <w:rsid w:val="00774172"/>
    <w:rsid w:val="00780D8A"/>
    <w:rsid w:val="00780F9C"/>
    <w:rsid w:val="0078227F"/>
    <w:rsid w:val="00793A68"/>
    <w:rsid w:val="00794FF9"/>
    <w:rsid w:val="007952D5"/>
    <w:rsid w:val="007A150B"/>
    <w:rsid w:val="007B030F"/>
    <w:rsid w:val="007C079F"/>
    <w:rsid w:val="007D4791"/>
    <w:rsid w:val="007E7C10"/>
    <w:rsid w:val="007F0D81"/>
    <w:rsid w:val="007F4225"/>
    <w:rsid w:val="007F5BFB"/>
    <w:rsid w:val="007F6F49"/>
    <w:rsid w:val="00805362"/>
    <w:rsid w:val="0081101F"/>
    <w:rsid w:val="00814B7F"/>
    <w:rsid w:val="00820A8D"/>
    <w:rsid w:val="00824293"/>
    <w:rsid w:val="00832AC2"/>
    <w:rsid w:val="008404F8"/>
    <w:rsid w:val="00851C9D"/>
    <w:rsid w:val="0085755A"/>
    <w:rsid w:val="008660D8"/>
    <w:rsid w:val="0088034A"/>
    <w:rsid w:val="0088320B"/>
    <w:rsid w:val="00890F17"/>
    <w:rsid w:val="0089445D"/>
    <w:rsid w:val="00895F7D"/>
    <w:rsid w:val="00897373"/>
    <w:rsid w:val="00897BB5"/>
    <w:rsid w:val="008A346E"/>
    <w:rsid w:val="008A6D91"/>
    <w:rsid w:val="008A7E27"/>
    <w:rsid w:val="008B2E5B"/>
    <w:rsid w:val="008B4998"/>
    <w:rsid w:val="008C1F44"/>
    <w:rsid w:val="008C6192"/>
    <w:rsid w:val="008D0EAC"/>
    <w:rsid w:val="008D49A6"/>
    <w:rsid w:val="008E5352"/>
    <w:rsid w:val="008F0538"/>
    <w:rsid w:val="008F7EFE"/>
    <w:rsid w:val="00900AF9"/>
    <w:rsid w:val="00906566"/>
    <w:rsid w:val="009118A4"/>
    <w:rsid w:val="009121B0"/>
    <w:rsid w:val="00931712"/>
    <w:rsid w:val="00945ACC"/>
    <w:rsid w:val="0096275B"/>
    <w:rsid w:val="00962D5B"/>
    <w:rsid w:val="00962F8B"/>
    <w:rsid w:val="00963309"/>
    <w:rsid w:val="00964184"/>
    <w:rsid w:val="00965356"/>
    <w:rsid w:val="009963E0"/>
    <w:rsid w:val="00997DAB"/>
    <w:rsid w:val="009A42EB"/>
    <w:rsid w:val="009A67BC"/>
    <w:rsid w:val="009B293A"/>
    <w:rsid w:val="009B760B"/>
    <w:rsid w:val="009B788C"/>
    <w:rsid w:val="009C18F0"/>
    <w:rsid w:val="009E3919"/>
    <w:rsid w:val="009E595C"/>
    <w:rsid w:val="009E6B36"/>
    <w:rsid w:val="009F5212"/>
    <w:rsid w:val="00A03201"/>
    <w:rsid w:val="00A26255"/>
    <w:rsid w:val="00A30E9B"/>
    <w:rsid w:val="00A336F0"/>
    <w:rsid w:val="00A34E66"/>
    <w:rsid w:val="00A44419"/>
    <w:rsid w:val="00A506EE"/>
    <w:rsid w:val="00A65CC9"/>
    <w:rsid w:val="00A65CDF"/>
    <w:rsid w:val="00A92AB0"/>
    <w:rsid w:val="00AA16E8"/>
    <w:rsid w:val="00AA3F03"/>
    <w:rsid w:val="00AA5E3F"/>
    <w:rsid w:val="00AA7FB8"/>
    <w:rsid w:val="00AB6166"/>
    <w:rsid w:val="00AB6548"/>
    <w:rsid w:val="00AD2CC1"/>
    <w:rsid w:val="00AD4AC8"/>
    <w:rsid w:val="00AF0774"/>
    <w:rsid w:val="00AF6C77"/>
    <w:rsid w:val="00AF6F3A"/>
    <w:rsid w:val="00B04BEA"/>
    <w:rsid w:val="00B10F07"/>
    <w:rsid w:val="00B12564"/>
    <w:rsid w:val="00B12E6A"/>
    <w:rsid w:val="00B31BFC"/>
    <w:rsid w:val="00B3312D"/>
    <w:rsid w:val="00B36BD4"/>
    <w:rsid w:val="00B3740E"/>
    <w:rsid w:val="00B37DF1"/>
    <w:rsid w:val="00B41B8B"/>
    <w:rsid w:val="00B44EF6"/>
    <w:rsid w:val="00B531DB"/>
    <w:rsid w:val="00B5489C"/>
    <w:rsid w:val="00B60597"/>
    <w:rsid w:val="00B67DEE"/>
    <w:rsid w:val="00B71A09"/>
    <w:rsid w:val="00B83BE2"/>
    <w:rsid w:val="00BA4DBE"/>
    <w:rsid w:val="00BA5C65"/>
    <w:rsid w:val="00BB3562"/>
    <w:rsid w:val="00BB5EA8"/>
    <w:rsid w:val="00BC57D1"/>
    <w:rsid w:val="00BD3EFF"/>
    <w:rsid w:val="00BD6BA6"/>
    <w:rsid w:val="00BE35F1"/>
    <w:rsid w:val="00BF4807"/>
    <w:rsid w:val="00BF4847"/>
    <w:rsid w:val="00C01305"/>
    <w:rsid w:val="00C10173"/>
    <w:rsid w:val="00C12D03"/>
    <w:rsid w:val="00C317E4"/>
    <w:rsid w:val="00C35CD9"/>
    <w:rsid w:val="00C36465"/>
    <w:rsid w:val="00C57DD7"/>
    <w:rsid w:val="00C613A0"/>
    <w:rsid w:val="00C85392"/>
    <w:rsid w:val="00C912CD"/>
    <w:rsid w:val="00C9212B"/>
    <w:rsid w:val="00CA5801"/>
    <w:rsid w:val="00CB4697"/>
    <w:rsid w:val="00CB61F1"/>
    <w:rsid w:val="00CC35BA"/>
    <w:rsid w:val="00CC4664"/>
    <w:rsid w:val="00CC5D9E"/>
    <w:rsid w:val="00CC6B68"/>
    <w:rsid w:val="00CD392A"/>
    <w:rsid w:val="00CE12C8"/>
    <w:rsid w:val="00CE549F"/>
    <w:rsid w:val="00CE5571"/>
    <w:rsid w:val="00CE7542"/>
    <w:rsid w:val="00D00C82"/>
    <w:rsid w:val="00D03450"/>
    <w:rsid w:val="00D12F3D"/>
    <w:rsid w:val="00D2646C"/>
    <w:rsid w:val="00D3045D"/>
    <w:rsid w:val="00D317F9"/>
    <w:rsid w:val="00D44E27"/>
    <w:rsid w:val="00D5669A"/>
    <w:rsid w:val="00D6242F"/>
    <w:rsid w:val="00D62C24"/>
    <w:rsid w:val="00D70E48"/>
    <w:rsid w:val="00D75366"/>
    <w:rsid w:val="00D756E9"/>
    <w:rsid w:val="00D81B0E"/>
    <w:rsid w:val="00D91C62"/>
    <w:rsid w:val="00DB0A5E"/>
    <w:rsid w:val="00DB2D7B"/>
    <w:rsid w:val="00DB719D"/>
    <w:rsid w:val="00DC6F13"/>
    <w:rsid w:val="00DD09C3"/>
    <w:rsid w:val="00DD2887"/>
    <w:rsid w:val="00DE60BA"/>
    <w:rsid w:val="00E04B69"/>
    <w:rsid w:val="00E25391"/>
    <w:rsid w:val="00E414FE"/>
    <w:rsid w:val="00E521FA"/>
    <w:rsid w:val="00E6360A"/>
    <w:rsid w:val="00E83B80"/>
    <w:rsid w:val="00E85342"/>
    <w:rsid w:val="00E91945"/>
    <w:rsid w:val="00E940D6"/>
    <w:rsid w:val="00E943FE"/>
    <w:rsid w:val="00E9467F"/>
    <w:rsid w:val="00EB3A14"/>
    <w:rsid w:val="00EB4702"/>
    <w:rsid w:val="00EB5166"/>
    <w:rsid w:val="00EB57B0"/>
    <w:rsid w:val="00EC3302"/>
    <w:rsid w:val="00EC5AF5"/>
    <w:rsid w:val="00ED1C30"/>
    <w:rsid w:val="00EE3DDF"/>
    <w:rsid w:val="00EF2EDD"/>
    <w:rsid w:val="00EF5490"/>
    <w:rsid w:val="00F01915"/>
    <w:rsid w:val="00F06CF9"/>
    <w:rsid w:val="00F15FA1"/>
    <w:rsid w:val="00F23F58"/>
    <w:rsid w:val="00F24CA2"/>
    <w:rsid w:val="00F3023C"/>
    <w:rsid w:val="00F31692"/>
    <w:rsid w:val="00F35D4B"/>
    <w:rsid w:val="00F4667A"/>
    <w:rsid w:val="00F64B7F"/>
    <w:rsid w:val="00F87E5D"/>
    <w:rsid w:val="00FA0B5B"/>
    <w:rsid w:val="00FB0F58"/>
    <w:rsid w:val="00FB2D7F"/>
    <w:rsid w:val="00FC20EB"/>
    <w:rsid w:val="00FC41EC"/>
    <w:rsid w:val="00FC7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30F"/>
    <w:rPr>
      <w:rFonts w:ascii="Arial" w:hAnsi="Arial"/>
      <w:sz w:val="22"/>
      <w:szCs w:val="24"/>
    </w:rPr>
  </w:style>
  <w:style w:type="paragraph" w:styleId="Heading1">
    <w:name w:val="heading 1"/>
    <w:basedOn w:val="Normal"/>
    <w:next w:val="Normal"/>
    <w:qFormat/>
    <w:rsid w:val="005B72F6"/>
    <w:pPr>
      <w:keepNext/>
      <w:spacing w:before="240" w:after="60"/>
      <w:outlineLvl w:val="0"/>
    </w:pPr>
    <w:rPr>
      <w:rFonts w:cs="Arial"/>
      <w:b/>
      <w:bCs/>
      <w:kern w:val="32"/>
      <w:sz w:val="32"/>
      <w:szCs w:val="32"/>
    </w:rPr>
  </w:style>
  <w:style w:type="paragraph" w:styleId="Heading2">
    <w:name w:val="heading 2"/>
    <w:basedOn w:val="Normal"/>
    <w:next w:val="Normal"/>
    <w:qFormat/>
    <w:rsid w:val="005B72F6"/>
    <w:pPr>
      <w:keepNext/>
      <w:spacing w:before="240" w:after="60"/>
      <w:outlineLvl w:val="1"/>
    </w:pPr>
    <w:rPr>
      <w:rFonts w:cs="Arial"/>
      <w:b/>
      <w:bCs/>
      <w:i/>
      <w:iCs/>
      <w:sz w:val="28"/>
      <w:szCs w:val="28"/>
    </w:rPr>
  </w:style>
  <w:style w:type="paragraph" w:styleId="Heading3">
    <w:name w:val="heading 3"/>
    <w:basedOn w:val="Normal"/>
    <w:next w:val="Normal"/>
    <w:qFormat/>
    <w:rsid w:val="005B72F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D0EAC"/>
    <w:pPr>
      <w:tabs>
        <w:tab w:val="center" w:pos="4153"/>
        <w:tab w:val="right" w:pos="8306"/>
      </w:tabs>
    </w:pPr>
  </w:style>
  <w:style w:type="paragraph" w:styleId="Footer">
    <w:name w:val="footer"/>
    <w:basedOn w:val="Normal"/>
    <w:semiHidden/>
    <w:rsid w:val="008D0EAC"/>
    <w:pPr>
      <w:tabs>
        <w:tab w:val="center" w:pos="4153"/>
        <w:tab w:val="right" w:pos="8306"/>
      </w:tabs>
    </w:pPr>
  </w:style>
  <w:style w:type="paragraph" w:customStyle="1" w:styleId="SCL-DocNumber">
    <w:name w:val="SCL - Doc Number"/>
    <w:basedOn w:val="Normal"/>
    <w:next w:val="Normal"/>
    <w:link w:val="SCL-DocNumberChar"/>
    <w:rsid w:val="005B72F6"/>
    <w:pPr>
      <w:pBdr>
        <w:bottom w:val="single" w:sz="4" w:space="1" w:color="auto"/>
      </w:pBdr>
      <w:spacing w:after="120"/>
    </w:pPr>
    <w:rPr>
      <w:rFonts w:cs="Arial"/>
      <w:b/>
      <w:sz w:val="32"/>
      <w:szCs w:val="32"/>
    </w:rPr>
  </w:style>
  <w:style w:type="character" w:styleId="PageNumber">
    <w:name w:val="page number"/>
    <w:semiHidden/>
    <w:rsid w:val="00235CDA"/>
    <w:rPr>
      <w:sz w:val="16"/>
    </w:rPr>
  </w:style>
  <w:style w:type="table" w:styleId="TableGrid">
    <w:name w:val="Table Grid"/>
    <w:basedOn w:val="TableNormal"/>
    <w:semiHidden/>
    <w:rsid w:val="0034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L-DocNumberChar">
    <w:name w:val="SCL - Doc Number Char"/>
    <w:link w:val="SCL-DocNumber"/>
    <w:rsid w:val="005B72F6"/>
    <w:rPr>
      <w:rFonts w:ascii="Arial" w:hAnsi="Arial" w:cs="Arial"/>
      <w:b/>
      <w:sz w:val="32"/>
      <w:szCs w:val="32"/>
      <w:lang w:val="en-AU" w:eastAsia="en-AU" w:bidi="ar-SA"/>
    </w:rPr>
  </w:style>
  <w:style w:type="paragraph" w:customStyle="1" w:styleId="SCL-Title">
    <w:name w:val="SCL - Title"/>
    <w:basedOn w:val="Normal"/>
    <w:rsid w:val="005B72F6"/>
    <w:pPr>
      <w:pBdr>
        <w:top w:val="single" w:sz="4" w:space="1" w:color="auto"/>
      </w:pBdr>
      <w:spacing w:before="120" w:after="120"/>
      <w:jc w:val="both"/>
    </w:pPr>
    <w:rPr>
      <w:b/>
      <w:bCs/>
      <w:sz w:val="40"/>
      <w:szCs w:val="20"/>
    </w:rPr>
  </w:style>
  <w:style w:type="paragraph" w:customStyle="1" w:styleId="SCL-Heading1">
    <w:name w:val="SCL - Heading 1"/>
    <w:basedOn w:val="Normal"/>
    <w:next w:val="Heading1"/>
    <w:rsid w:val="009963E0"/>
    <w:pPr>
      <w:numPr>
        <w:numId w:val="16"/>
      </w:numPr>
      <w:spacing w:before="60" w:after="120"/>
    </w:pPr>
    <w:rPr>
      <w:b/>
      <w:bCs/>
      <w:kern w:val="32"/>
      <w:sz w:val="32"/>
    </w:rPr>
  </w:style>
  <w:style w:type="paragraph" w:customStyle="1" w:styleId="SCL-ContentText">
    <w:name w:val="SCL - Content Text"/>
    <w:basedOn w:val="Normal"/>
    <w:rsid w:val="00650228"/>
    <w:pPr>
      <w:ind w:left="720"/>
    </w:pPr>
  </w:style>
  <w:style w:type="paragraph" w:customStyle="1" w:styleId="HelpTextTemplateOnly">
    <w:name w:val="HelpText (TemplateOnly)"/>
    <w:basedOn w:val="Normal"/>
    <w:next w:val="Normal"/>
    <w:link w:val="HelpTextTemplateOnlyChar"/>
    <w:rsid w:val="001A66B1"/>
    <w:pPr>
      <w:shd w:val="clear" w:color="auto" w:fill="FFFF00"/>
      <w:jc w:val="both"/>
    </w:pPr>
    <w:rPr>
      <w:sz w:val="20"/>
      <w:lang w:eastAsia="en-US"/>
    </w:rPr>
  </w:style>
  <w:style w:type="character" w:customStyle="1" w:styleId="HelpTextTemplateOnlyChar">
    <w:name w:val="HelpText (TemplateOnly) Char"/>
    <w:link w:val="HelpTextTemplateOnly"/>
    <w:rsid w:val="001A66B1"/>
    <w:rPr>
      <w:rFonts w:ascii="Arial" w:hAnsi="Arial"/>
      <w:szCs w:val="24"/>
      <w:lang w:val="en-AU" w:eastAsia="en-US" w:bidi="ar-SA"/>
    </w:rPr>
  </w:style>
  <w:style w:type="paragraph" w:styleId="BodyTextIndent">
    <w:name w:val="Body Text Indent"/>
    <w:basedOn w:val="Normal"/>
    <w:link w:val="BodyTextIndentChar"/>
    <w:rsid w:val="00FB0F58"/>
    <w:pPr>
      <w:spacing w:after="120"/>
      <w:ind w:left="283"/>
      <w:jc w:val="both"/>
    </w:pPr>
    <w:rPr>
      <w:sz w:val="20"/>
      <w:lang w:eastAsia="en-US"/>
    </w:rPr>
  </w:style>
  <w:style w:type="character" w:customStyle="1" w:styleId="BodyTextIndentChar">
    <w:name w:val="Body Text Indent Char"/>
    <w:link w:val="BodyTextIndent"/>
    <w:rsid w:val="00FB0F58"/>
    <w:rPr>
      <w:rFonts w:ascii="Arial" w:hAnsi="Arial"/>
      <w:szCs w:val="24"/>
      <w:lang w:eastAsia="en-US"/>
    </w:rPr>
  </w:style>
  <w:style w:type="paragraph" w:customStyle="1" w:styleId="SCLMainHeading1">
    <w:name w:val="SCL Main Heading 1"/>
    <w:basedOn w:val="Normal"/>
    <w:rsid w:val="00FB0F58"/>
    <w:pPr>
      <w:jc w:val="both"/>
      <w:outlineLvl w:val="0"/>
    </w:pPr>
    <w:rPr>
      <w:color w:val="CDB49A"/>
      <w:sz w:val="48"/>
      <w:szCs w:val="20"/>
      <w:lang w:eastAsia="en-US"/>
    </w:rPr>
  </w:style>
  <w:style w:type="paragraph" w:styleId="BodyText">
    <w:name w:val="Body Text"/>
    <w:basedOn w:val="Normal"/>
    <w:link w:val="BodyTextChar"/>
    <w:rsid w:val="00FB0F58"/>
    <w:pPr>
      <w:spacing w:after="120"/>
    </w:pPr>
  </w:style>
  <w:style w:type="character" w:customStyle="1" w:styleId="BodyTextChar">
    <w:name w:val="Body Text Char"/>
    <w:link w:val="BodyText"/>
    <w:rsid w:val="00FB0F58"/>
    <w:rPr>
      <w:rFonts w:ascii="Arial" w:hAnsi="Arial"/>
      <w:sz w:val="22"/>
      <w:szCs w:val="24"/>
    </w:rPr>
  </w:style>
  <w:style w:type="character" w:styleId="Hyperlink">
    <w:name w:val="Hyperlink"/>
    <w:rsid w:val="00FB0F58"/>
    <w:rPr>
      <w:color w:val="0000FF"/>
      <w:u w:val="single"/>
    </w:rPr>
  </w:style>
  <w:style w:type="paragraph" w:customStyle="1" w:styleId="SCLContentHeading1">
    <w:name w:val="SCL Content Heading 1"/>
    <w:basedOn w:val="SCLMainHeading1"/>
    <w:rsid w:val="00FB0F58"/>
    <w:pPr>
      <w:outlineLvl w:val="2"/>
    </w:pPr>
    <w:rPr>
      <w:rFonts w:cs="Arial"/>
      <w:color w:val="auto"/>
      <w:sz w:val="20"/>
      <w:u w:val="single"/>
      <w:lang w:eastAsia="en-AU"/>
    </w:rPr>
  </w:style>
  <w:style w:type="paragraph" w:styleId="BalloonText">
    <w:name w:val="Balloon Text"/>
    <w:basedOn w:val="Normal"/>
    <w:link w:val="BalloonTextChar"/>
    <w:rsid w:val="008A7E27"/>
    <w:rPr>
      <w:rFonts w:ascii="Tahoma" w:hAnsi="Tahoma" w:cs="Tahoma"/>
      <w:sz w:val="16"/>
      <w:szCs w:val="16"/>
    </w:rPr>
  </w:style>
  <w:style w:type="character" w:customStyle="1" w:styleId="BalloonTextChar">
    <w:name w:val="Balloon Text Char"/>
    <w:link w:val="BalloonText"/>
    <w:rsid w:val="008A7E27"/>
    <w:rPr>
      <w:rFonts w:ascii="Tahoma" w:hAnsi="Tahoma" w:cs="Tahoma"/>
      <w:sz w:val="16"/>
      <w:szCs w:val="16"/>
    </w:rPr>
  </w:style>
  <w:style w:type="paragraph" w:styleId="ListParagraph">
    <w:name w:val="List Paragraph"/>
    <w:basedOn w:val="Normal"/>
    <w:uiPriority w:val="34"/>
    <w:qFormat/>
    <w:rsid w:val="00110C3C"/>
    <w:pPr>
      <w:ind w:left="720"/>
    </w:pPr>
  </w:style>
  <w:style w:type="paragraph" w:customStyle="1" w:styleId="SCL-Heading2">
    <w:name w:val="SCL - Heading 2"/>
    <w:basedOn w:val="Normal"/>
    <w:rsid w:val="00D756E9"/>
    <w:pPr>
      <w:keepNext/>
      <w:numPr>
        <w:ilvl w:val="1"/>
        <w:numId w:val="16"/>
      </w:numPr>
      <w:tabs>
        <w:tab w:val="clear" w:pos="1440"/>
        <w:tab w:val="num" w:pos="851"/>
      </w:tabs>
      <w:spacing w:before="240" w:after="60"/>
      <w:ind w:left="851"/>
      <w:outlineLvl w:val="1"/>
    </w:pPr>
    <w:rPr>
      <w:rFonts w:cs="Arial"/>
      <w:b/>
      <w:bCs/>
      <w:iCs/>
      <w:sz w:val="28"/>
      <w:szCs w:val="28"/>
    </w:rPr>
  </w:style>
  <w:style w:type="character" w:styleId="CommentReference">
    <w:name w:val="annotation reference"/>
    <w:semiHidden/>
    <w:rsid w:val="003865AD"/>
    <w:rPr>
      <w:sz w:val="16"/>
      <w:szCs w:val="16"/>
    </w:rPr>
  </w:style>
  <w:style w:type="paragraph" w:styleId="CommentText">
    <w:name w:val="annotation text"/>
    <w:basedOn w:val="Normal"/>
    <w:semiHidden/>
    <w:rsid w:val="003865AD"/>
    <w:rPr>
      <w:sz w:val="20"/>
      <w:szCs w:val="20"/>
    </w:rPr>
  </w:style>
  <w:style w:type="paragraph" w:styleId="CommentSubject">
    <w:name w:val="annotation subject"/>
    <w:basedOn w:val="CommentText"/>
    <w:next w:val="CommentText"/>
    <w:semiHidden/>
    <w:rsid w:val="003865AD"/>
    <w:rPr>
      <w:b/>
      <w:bCs/>
    </w:rPr>
  </w:style>
  <w:style w:type="paragraph" w:customStyle="1" w:styleId="SCL-BulletedContent">
    <w:name w:val="SCL - Bulleted Content"/>
    <w:basedOn w:val="Normal"/>
    <w:rsid w:val="005271C2"/>
    <w:pPr>
      <w:numPr>
        <w:numId w:val="33"/>
      </w:numPr>
      <w:tabs>
        <w:tab w:val="left" w:pos="6521"/>
        <w:tab w:val="left" w:pos="6804"/>
      </w:tabs>
      <w:spacing w:before="120" w:after="1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30F"/>
    <w:rPr>
      <w:rFonts w:ascii="Arial" w:hAnsi="Arial"/>
      <w:sz w:val="22"/>
      <w:szCs w:val="24"/>
    </w:rPr>
  </w:style>
  <w:style w:type="paragraph" w:styleId="Heading1">
    <w:name w:val="heading 1"/>
    <w:basedOn w:val="Normal"/>
    <w:next w:val="Normal"/>
    <w:qFormat/>
    <w:rsid w:val="005B72F6"/>
    <w:pPr>
      <w:keepNext/>
      <w:spacing w:before="240" w:after="60"/>
      <w:outlineLvl w:val="0"/>
    </w:pPr>
    <w:rPr>
      <w:rFonts w:cs="Arial"/>
      <w:b/>
      <w:bCs/>
      <w:kern w:val="32"/>
      <w:sz w:val="32"/>
      <w:szCs w:val="32"/>
    </w:rPr>
  </w:style>
  <w:style w:type="paragraph" w:styleId="Heading2">
    <w:name w:val="heading 2"/>
    <w:basedOn w:val="Normal"/>
    <w:next w:val="Normal"/>
    <w:qFormat/>
    <w:rsid w:val="005B72F6"/>
    <w:pPr>
      <w:keepNext/>
      <w:spacing w:before="240" w:after="60"/>
      <w:outlineLvl w:val="1"/>
    </w:pPr>
    <w:rPr>
      <w:rFonts w:cs="Arial"/>
      <w:b/>
      <w:bCs/>
      <w:i/>
      <w:iCs/>
      <w:sz w:val="28"/>
      <w:szCs w:val="28"/>
    </w:rPr>
  </w:style>
  <w:style w:type="paragraph" w:styleId="Heading3">
    <w:name w:val="heading 3"/>
    <w:basedOn w:val="Normal"/>
    <w:next w:val="Normal"/>
    <w:qFormat/>
    <w:rsid w:val="005B72F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D0EAC"/>
    <w:pPr>
      <w:tabs>
        <w:tab w:val="center" w:pos="4153"/>
        <w:tab w:val="right" w:pos="8306"/>
      </w:tabs>
    </w:pPr>
  </w:style>
  <w:style w:type="paragraph" w:styleId="Footer">
    <w:name w:val="footer"/>
    <w:basedOn w:val="Normal"/>
    <w:semiHidden/>
    <w:rsid w:val="008D0EAC"/>
    <w:pPr>
      <w:tabs>
        <w:tab w:val="center" w:pos="4153"/>
        <w:tab w:val="right" w:pos="8306"/>
      </w:tabs>
    </w:pPr>
  </w:style>
  <w:style w:type="paragraph" w:customStyle="1" w:styleId="SCL-DocNumber">
    <w:name w:val="SCL - Doc Number"/>
    <w:basedOn w:val="Normal"/>
    <w:next w:val="Normal"/>
    <w:link w:val="SCL-DocNumberChar"/>
    <w:rsid w:val="005B72F6"/>
    <w:pPr>
      <w:pBdr>
        <w:bottom w:val="single" w:sz="4" w:space="1" w:color="auto"/>
      </w:pBdr>
      <w:spacing w:after="120"/>
    </w:pPr>
    <w:rPr>
      <w:rFonts w:cs="Arial"/>
      <w:b/>
      <w:sz w:val="32"/>
      <w:szCs w:val="32"/>
    </w:rPr>
  </w:style>
  <w:style w:type="character" w:styleId="PageNumber">
    <w:name w:val="page number"/>
    <w:semiHidden/>
    <w:rsid w:val="00235CDA"/>
    <w:rPr>
      <w:sz w:val="16"/>
    </w:rPr>
  </w:style>
  <w:style w:type="table" w:styleId="TableGrid">
    <w:name w:val="Table Grid"/>
    <w:basedOn w:val="TableNormal"/>
    <w:semiHidden/>
    <w:rsid w:val="0034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L-DocNumberChar">
    <w:name w:val="SCL - Doc Number Char"/>
    <w:link w:val="SCL-DocNumber"/>
    <w:rsid w:val="005B72F6"/>
    <w:rPr>
      <w:rFonts w:ascii="Arial" w:hAnsi="Arial" w:cs="Arial"/>
      <w:b/>
      <w:sz w:val="32"/>
      <w:szCs w:val="32"/>
      <w:lang w:val="en-AU" w:eastAsia="en-AU" w:bidi="ar-SA"/>
    </w:rPr>
  </w:style>
  <w:style w:type="paragraph" w:customStyle="1" w:styleId="SCL-Title">
    <w:name w:val="SCL - Title"/>
    <w:basedOn w:val="Normal"/>
    <w:rsid w:val="005B72F6"/>
    <w:pPr>
      <w:pBdr>
        <w:top w:val="single" w:sz="4" w:space="1" w:color="auto"/>
      </w:pBdr>
      <w:spacing w:before="120" w:after="120"/>
      <w:jc w:val="both"/>
    </w:pPr>
    <w:rPr>
      <w:b/>
      <w:bCs/>
      <w:sz w:val="40"/>
      <w:szCs w:val="20"/>
    </w:rPr>
  </w:style>
  <w:style w:type="paragraph" w:customStyle="1" w:styleId="SCL-Heading1">
    <w:name w:val="SCL - Heading 1"/>
    <w:basedOn w:val="Normal"/>
    <w:next w:val="Heading1"/>
    <w:rsid w:val="009963E0"/>
    <w:pPr>
      <w:numPr>
        <w:numId w:val="16"/>
      </w:numPr>
      <w:spacing w:before="60" w:after="120"/>
    </w:pPr>
    <w:rPr>
      <w:b/>
      <w:bCs/>
      <w:kern w:val="32"/>
      <w:sz w:val="32"/>
    </w:rPr>
  </w:style>
  <w:style w:type="paragraph" w:customStyle="1" w:styleId="SCL-ContentText">
    <w:name w:val="SCL - Content Text"/>
    <w:basedOn w:val="Normal"/>
    <w:rsid w:val="00650228"/>
    <w:pPr>
      <w:ind w:left="720"/>
    </w:pPr>
  </w:style>
  <w:style w:type="paragraph" w:customStyle="1" w:styleId="HelpTextTemplateOnly">
    <w:name w:val="HelpText (TemplateOnly)"/>
    <w:basedOn w:val="Normal"/>
    <w:next w:val="Normal"/>
    <w:link w:val="HelpTextTemplateOnlyChar"/>
    <w:rsid w:val="001A66B1"/>
    <w:pPr>
      <w:shd w:val="clear" w:color="auto" w:fill="FFFF00"/>
      <w:jc w:val="both"/>
    </w:pPr>
    <w:rPr>
      <w:sz w:val="20"/>
      <w:lang w:eastAsia="en-US"/>
    </w:rPr>
  </w:style>
  <w:style w:type="character" w:customStyle="1" w:styleId="HelpTextTemplateOnlyChar">
    <w:name w:val="HelpText (TemplateOnly) Char"/>
    <w:link w:val="HelpTextTemplateOnly"/>
    <w:rsid w:val="001A66B1"/>
    <w:rPr>
      <w:rFonts w:ascii="Arial" w:hAnsi="Arial"/>
      <w:szCs w:val="24"/>
      <w:lang w:val="en-AU" w:eastAsia="en-US" w:bidi="ar-SA"/>
    </w:rPr>
  </w:style>
  <w:style w:type="paragraph" w:styleId="BodyTextIndent">
    <w:name w:val="Body Text Indent"/>
    <w:basedOn w:val="Normal"/>
    <w:link w:val="BodyTextIndentChar"/>
    <w:rsid w:val="00FB0F58"/>
    <w:pPr>
      <w:spacing w:after="120"/>
      <w:ind w:left="283"/>
      <w:jc w:val="both"/>
    </w:pPr>
    <w:rPr>
      <w:sz w:val="20"/>
      <w:lang w:eastAsia="en-US"/>
    </w:rPr>
  </w:style>
  <w:style w:type="character" w:customStyle="1" w:styleId="BodyTextIndentChar">
    <w:name w:val="Body Text Indent Char"/>
    <w:link w:val="BodyTextIndent"/>
    <w:rsid w:val="00FB0F58"/>
    <w:rPr>
      <w:rFonts w:ascii="Arial" w:hAnsi="Arial"/>
      <w:szCs w:val="24"/>
      <w:lang w:eastAsia="en-US"/>
    </w:rPr>
  </w:style>
  <w:style w:type="paragraph" w:customStyle="1" w:styleId="SCLMainHeading1">
    <w:name w:val="SCL Main Heading 1"/>
    <w:basedOn w:val="Normal"/>
    <w:rsid w:val="00FB0F58"/>
    <w:pPr>
      <w:jc w:val="both"/>
      <w:outlineLvl w:val="0"/>
    </w:pPr>
    <w:rPr>
      <w:color w:val="CDB49A"/>
      <w:sz w:val="48"/>
      <w:szCs w:val="20"/>
      <w:lang w:eastAsia="en-US"/>
    </w:rPr>
  </w:style>
  <w:style w:type="paragraph" w:styleId="BodyText">
    <w:name w:val="Body Text"/>
    <w:basedOn w:val="Normal"/>
    <w:link w:val="BodyTextChar"/>
    <w:rsid w:val="00FB0F58"/>
    <w:pPr>
      <w:spacing w:after="120"/>
    </w:pPr>
  </w:style>
  <w:style w:type="character" w:customStyle="1" w:styleId="BodyTextChar">
    <w:name w:val="Body Text Char"/>
    <w:link w:val="BodyText"/>
    <w:rsid w:val="00FB0F58"/>
    <w:rPr>
      <w:rFonts w:ascii="Arial" w:hAnsi="Arial"/>
      <w:sz w:val="22"/>
      <w:szCs w:val="24"/>
    </w:rPr>
  </w:style>
  <w:style w:type="character" w:styleId="Hyperlink">
    <w:name w:val="Hyperlink"/>
    <w:rsid w:val="00FB0F58"/>
    <w:rPr>
      <w:color w:val="0000FF"/>
      <w:u w:val="single"/>
    </w:rPr>
  </w:style>
  <w:style w:type="paragraph" w:customStyle="1" w:styleId="SCLContentHeading1">
    <w:name w:val="SCL Content Heading 1"/>
    <w:basedOn w:val="SCLMainHeading1"/>
    <w:rsid w:val="00FB0F58"/>
    <w:pPr>
      <w:outlineLvl w:val="2"/>
    </w:pPr>
    <w:rPr>
      <w:rFonts w:cs="Arial"/>
      <w:color w:val="auto"/>
      <w:sz w:val="20"/>
      <w:u w:val="single"/>
      <w:lang w:eastAsia="en-AU"/>
    </w:rPr>
  </w:style>
  <w:style w:type="paragraph" w:styleId="BalloonText">
    <w:name w:val="Balloon Text"/>
    <w:basedOn w:val="Normal"/>
    <w:link w:val="BalloonTextChar"/>
    <w:rsid w:val="008A7E27"/>
    <w:rPr>
      <w:rFonts w:ascii="Tahoma" w:hAnsi="Tahoma" w:cs="Tahoma"/>
      <w:sz w:val="16"/>
      <w:szCs w:val="16"/>
    </w:rPr>
  </w:style>
  <w:style w:type="character" w:customStyle="1" w:styleId="BalloonTextChar">
    <w:name w:val="Balloon Text Char"/>
    <w:link w:val="BalloonText"/>
    <w:rsid w:val="008A7E27"/>
    <w:rPr>
      <w:rFonts w:ascii="Tahoma" w:hAnsi="Tahoma" w:cs="Tahoma"/>
      <w:sz w:val="16"/>
      <w:szCs w:val="16"/>
    </w:rPr>
  </w:style>
  <w:style w:type="paragraph" w:styleId="ListParagraph">
    <w:name w:val="List Paragraph"/>
    <w:basedOn w:val="Normal"/>
    <w:uiPriority w:val="34"/>
    <w:qFormat/>
    <w:rsid w:val="00110C3C"/>
    <w:pPr>
      <w:ind w:left="720"/>
    </w:pPr>
  </w:style>
  <w:style w:type="paragraph" w:customStyle="1" w:styleId="SCL-Heading2">
    <w:name w:val="SCL - Heading 2"/>
    <w:basedOn w:val="Normal"/>
    <w:rsid w:val="00D756E9"/>
    <w:pPr>
      <w:keepNext/>
      <w:numPr>
        <w:ilvl w:val="1"/>
        <w:numId w:val="16"/>
      </w:numPr>
      <w:tabs>
        <w:tab w:val="clear" w:pos="1440"/>
        <w:tab w:val="num" w:pos="851"/>
      </w:tabs>
      <w:spacing w:before="240" w:after="60"/>
      <w:ind w:left="851"/>
      <w:outlineLvl w:val="1"/>
    </w:pPr>
    <w:rPr>
      <w:rFonts w:cs="Arial"/>
      <w:b/>
      <w:bCs/>
      <w:iCs/>
      <w:sz w:val="28"/>
      <w:szCs w:val="28"/>
    </w:rPr>
  </w:style>
  <w:style w:type="character" w:styleId="CommentReference">
    <w:name w:val="annotation reference"/>
    <w:semiHidden/>
    <w:rsid w:val="003865AD"/>
    <w:rPr>
      <w:sz w:val="16"/>
      <w:szCs w:val="16"/>
    </w:rPr>
  </w:style>
  <w:style w:type="paragraph" w:styleId="CommentText">
    <w:name w:val="annotation text"/>
    <w:basedOn w:val="Normal"/>
    <w:semiHidden/>
    <w:rsid w:val="003865AD"/>
    <w:rPr>
      <w:sz w:val="20"/>
      <w:szCs w:val="20"/>
    </w:rPr>
  </w:style>
  <w:style w:type="paragraph" w:styleId="CommentSubject">
    <w:name w:val="annotation subject"/>
    <w:basedOn w:val="CommentText"/>
    <w:next w:val="CommentText"/>
    <w:semiHidden/>
    <w:rsid w:val="003865AD"/>
    <w:rPr>
      <w:b/>
      <w:bCs/>
    </w:rPr>
  </w:style>
  <w:style w:type="paragraph" w:customStyle="1" w:styleId="SCL-BulletedContent">
    <w:name w:val="SCL - Bulleted Content"/>
    <w:basedOn w:val="Normal"/>
    <w:rsid w:val="005271C2"/>
    <w:pPr>
      <w:numPr>
        <w:numId w:val="33"/>
      </w:numPr>
      <w:tabs>
        <w:tab w:val="left" w:pos="6521"/>
        <w:tab w:val="left" w:pos="6804"/>
      </w:tabs>
      <w:spacing w:before="120"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2984">
      <w:bodyDiv w:val="1"/>
      <w:marLeft w:val="0"/>
      <w:marRight w:val="0"/>
      <w:marTop w:val="0"/>
      <w:marBottom w:val="0"/>
      <w:divBdr>
        <w:top w:val="none" w:sz="0" w:space="0" w:color="auto"/>
        <w:left w:val="none" w:sz="0" w:space="0" w:color="auto"/>
        <w:bottom w:val="none" w:sz="0" w:space="0" w:color="auto"/>
        <w:right w:val="none" w:sz="0" w:space="0" w:color="auto"/>
      </w:divBdr>
    </w:div>
    <w:div w:id="1349334768">
      <w:bodyDiv w:val="1"/>
      <w:marLeft w:val="0"/>
      <w:marRight w:val="0"/>
      <w:marTop w:val="0"/>
      <w:marBottom w:val="0"/>
      <w:divBdr>
        <w:top w:val="none" w:sz="0" w:space="0" w:color="auto"/>
        <w:left w:val="none" w:sz="0" w:space="0" w:color="auto"/>
        <w:bottom w:val="none" w:sz="0" w:space="0" w:color="auto"/>
        <w:right w:val="none" w:sz="0" w:space="0" w:color="auto"/>
      </w:divBdr>
    </w:div>
    <w:div w:id="13893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islation.qld.gov.au/LEGISLTN/CURRENT/I/IntegrityA0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6FD2-2D3D-43BC-AA79-0B4C729C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9017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Tarong Energy Corporation</Company>
  <LinksUpToDate>false</LinksUpToDate>
  <CharactersWithSpaces>10520</CharactersWithSpaces>
  <SharedDoc>false</SharedDoc>
  <HLinks>
    <vt:vector size="12" baseType="variant">
      <vt:variant>
        <vt:i4>5308468</vt:i4>
      </vt:variant>
      <vt:variant>
        <vt:i4>3</vt:i4>
      </vt:variant>
      <vt:variant>
        <vt:i4>0</vt:i4>
      </vt:variant>
      <vt:variant>
        <vt:i4>5</vt:i4>
      </vt:variant>
      <vt:variant>
        <vt:lpwstr>mailto:company.secretary@stanwell.com</vt:lpwstr>
      </vt:variant>
      <vt:variant>
        <vt:lpwstr/>
      </vt:variant>
      <vt:variant>
        <vt:i4>2162740</vt:i4>
      </vt:variant>
      <vt:variant>
        <vt:i4>0</vt:i4>
      </vt:variant>
      <vt:variant>
        <vt:i4>0</vt:i4>
      </vt:variant>
      <vt:variant>
        <vt:i4>5</vt:i4>
      </vt:variant>
      <vt:variant>
        <vt:lpwstr>http://www.mystanwell.com/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rbyrnes</dc:creator>
  <cp:lastModifiedBy>Robertson, Angela</cp:lastModifiedBy>
  <cp:revision>2</cp:revision>
  <cp:lastPrinted>2016-07-26T02:45:00Z</cp:lastPrinted>
  <dcterms:created xsi:type="dcterms:W3CDTF">2017-12-14T22:36:00Z</dcterms:created>
  <dcterms:modified xsi:type="dcterms:W3CDTF">2017-12-14T22:36:00Z</dcterms:modified>
</cp:coreProperties>
</file>